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DA4D5" w14:textId="6FDEE3D1" w:rsidR="772CFB4C" w:rsidRPr="00A25298" w:rsidRDefault="772CFB4C" w:rsidP="772CFB4C">
      <w:pPr>
        <w:pStyle w:val="Heading2"/>
        <w:tabs>
          <w:tab w:val="left" w:pos="4830"/>
        </w:tabs>
        <w:spacing w:before="200" w:after="200" w:line="240" w:lineRule="auto"/>
        <w:rPr>
          <w:rFonts w:ascii="Cambria" w:eastAsia="Cambria" w:hAnsi="Cambria" w:cstheme="minorHAnsi"/>
          <w:b/>
          <w:bCs/>
          <w:color w:val="006600"/>
          <w:sz w:val="24"/>
          <w:szCs w:val="24"/>
        </w:rPr>
      </w:pPr>
    </w:p>
    <w:p w14:paraId="5A8E55F8" w14:textId="4D0C8569" w:rsidR="00494BDF" w:rsidRPr="00A25298" w:rsidRDefault="513D4532" w:rsidP="00373197">
      <w:pPr>
        <w:pStyle w:val="Heading2"/>
        <w:tabs>
          <w:tab w:val="left" w:pos="4830"/>
        </w:tabs>
        <w:spacing w:before="200" w:after="200" w:line="240" w:lineRule="auto"/>
        <w:jc w:val="center"/>
        <w:rPr>
          <w:rFonts w:ascii="Cambria" w:hAnsi="Cambria"/>
        </w:rPr>
      </w:pPr>
      <w:r w:rsidRPr="00A25298">
        <w:rPr>
          <w:rFonts w:ascii="Cambria" w:eastAsia="Cambria" w:hAnsi="Cambria" w:cstheme="minorHAnsi"/>
          <w:b/>
          <w:bCs/>
          <w:color w:val="1E4D2B"/>
          <w:sz w:val="24"/>
          <w:szCs w:val="24"/>
        </w:rPr>
        <w:t xml:space="preserve">RESEARCH DATA </w:t>
      </w:r>
      <w:r w:rsidR="00DC2CF4" w:rsidRPr="00A25298">
        <w:rPr>
          <w:rFonts w:ascii="Cambria" w:eastAsia="Cambria" w:hAnsi="Cambria" w:cstheme="minorHAnsi"/>
          <w:b/>
          <w:bCs/>
          <w:color w:val="1E4D2B"/>
          <w:sz w:val="24"/>
          <w:szCs w:val="24"/>
        </w:rPr>
        <w:t>BEST PRACTICES</w:t>
      </w:r>
    </w:p>
    <w:p w14:paraId="0720DB23" w14:textId="2F690F71" w:rsidR="1E7291FD" w:rsidRPr="00A25298" w:rsidRDefault="1E7291FD" w:rsidP="053EB6EF">
      <w:pPr>
        <w:tabs>
          <w:tab w:val="left" w:pos="4830"/>
        </w:tabs>
        <w:jc w:val="center"/>
        <w:rPr>
          <w:rFonts w:ascii="Cambria" w:eastAsia="Cambria" w:hAnsi="Cambria" w:cstheme="minorHAnsi"/>
          <w:b/>
          <w:bCs/>
          <w:color w:val="1E4D2B"/>
          <w:sz w:val="24"/>
          <w:szCs w:val="24"/>
        </w:rPr>
      </w:pPr>
      <w:r w:rsidRPr="00A25298">
        <w:rPr>
          <w:rFonts w:ascii="Cambria" w:eastAsia="Cambria" w:hAnsi="Cambria" w:cstheme="minorHAnsi"/>
          <w:b/>
          <w:bCs/>
          <w:color w:val="1E4D2B"/>
          <w:sz w:val="24"/>
          <w:szCs w:val="24"/>
        </w:rPr>
        <w:t xml:space="preserve">DEFINITIONS USED </w:t>
      </w:r>
    </w:p>
    <w:p w14:paraId="47752924" w14:textId="5F5F8E62" w:rsidR="1E7291FD" w:rsidRPr="00A25298" w:rsidRDefault="1E7291FD" w:rsidP="053EB6EF">
      <w:pPr>
        <w:rPr>
          <w:rFonts w:ascii="Cambria" w:hAnsi="Cambria" w:cstheme="minorHAnsi"/>
        </w:rPr>
      </w:pPr>
      <w:r w:rsidRPr="00A25298">
        <w:rPr>
          <w:rFonts w:ascii="Cambria" w:eastAsia="Cambria" w:hAnsi="Cambria" w:cstheme="minorHAnsi"/>
        </w:rPr>
        <w:t xml:space="preserve">A </w:t>
      </w:r>
      <w:r w:rsidRPr="00A25298">
        <w:rPr>
          <w:rFonts w:ascii="Cambria" w:eastAsia="Cambria" w:hAnsi="Cambria" w:cstheme="minorHAnsi"/>
          <w:i/>
          <w:iCs/>
        </w:rPr>
        <w:t>Data Management Plan</w:t>
      </w:r>
      <w:r w:rsidRPr="00A25298">
        <w:rPr>
          <w:rFonts w:ascii="Cambria" w:eastAsia="Cambria" w:hAnsi="Cambria" w:cstheme="minorHAnsi"/>
        </w:rPr>
        <w:t xml:space="preserve"> is a document that outlines how data will be managed from the point of data collection or acquisition at the start of a research project all the way through to what will happen to the data once the project finishes. Typically, a </w:t>
      </w:r>
      <w:hyperlink r:id="rId10">
        <w:r w:rsidRPr="00A25298">
          <w:rPr>
            <w:rStyle w:val="Hyperlink"/>
            <w:rFonts w:ascii="Cambria" w:eastAsia="Cambria" w:hAnsi="Cambria" w:cstheme="minorHAnsi"/>
            <w:color w:val="auto"/>
            <w:u w:val="none"/>
          </w:rPr>
          <w:t>data management plan</w:t>
        </w:r>
      </w:hyperlink>
      <w:r w:rsidRPr="00A25298">
        <w:rPr>
          <w:rFonts w:ascii="Cambria" w:eastAsia="Cambria" w:hAnsi="Cambria" w:cstheme="minorHAnsi"/>
        </w:rPr>
        <w:t xml:space="preserve"> (DMP) will cover areas such as data collection strategy, backup and storage of data, ethical/legal requirements related to data, data sharing and archiving, and project roles and responsibilities. </w:t>
      </w:r>
    </w:p>
    <w:p w14:paraId="0F6D10FB" w14:textId="5AD51E6B" w:rsidR="1E7291FD" w:rsidRPr="00A25298" w:rsidRDefault="1E7291FD" w:rsidP="053EB6EF">
      <w:pPr>
        <w:rPr>
          <w:rFonts w:ascii="Cambria" w:eastAsia="Cambria" w:hAnsi="Cambria" w:cstheme="minorHAnsi"/>
        </w:rPr>
      </w:pPr>
      <w:r w:rsidRPr="00A25298">
        <w:rPr>
          <w:rFonts w:ascii="Cambria" w:eastAsia="Cambria" w:hAnsi="Cambria" w:cstheme="minorHAnsi"/>
          <w:i/>
          <w:iCs/>
        </w:rPr>
        <w:t>Metadata</w:t>
      </w:r>
      <w:r w:rsidRPr="00A25298">
        <w:rPr>
          <w:rFonts w:ascii="Cambria" w:eastAsia="Cambria" w:hAnsi="Cambria" w:cstheme="minorHAnsi"/>
        </w:rPr>
        <w:t xml:space="preserve"> is information that describes significant aspects of a dataset. For example, this may include authors, title, date of publication, unique identifier, a description of what the dataset contains and a reuse license. This provides other researchers with the information needed to understand and reuse the dataset as well as making the dataset more findable.</w:t>
      </w:r>
    </w:p>
    <w:p w14:paraId="40A072DF" w14:textId="5099B2F0" w:rsidR="053EB6EF" w:rsidRPr="00A25298" w:rsidRDefault="053EB6EF" w:rsidP="053EB6EF">
      <w:pPr>
        <w:pStyle w:val="Heading2"/>
        <w:tabs>
          <w:tab w:val="left" w:pos="4830"/>
        </w:tabs>
        <w:spacing w:before="200" w:after="200" w:line="240" w:lineRule="auto"/>
        <w:jc w:val="center"/>
        <w:rPr>
          <w:rFonts w:ascii="Cambria" w:eastAsia="Cambria" w:hAnsi="Cambria" w:cstheme="minorHAnsi"/>
          <w:b/>
          <w:bCs/>
          <w:color w:val="006600"/>
          <w:sz w:val="24"/>
          <w:szCs w:val="24"/>
        </w:rPr>
      </w:pPr>
    </w:p>
    <w:p w14:paraId="559B0F56" w14:textId="45AF04F3" w:rsidR="1E7291FD" w:rsidRPr="00A25298" w:rsidRDefault="00331846" w:rsidP="053EB6EF">
      <w:pPr>
        <w:pStyle w:val="Heading2"/>
        <w:tabs>
          <w:tab w:val="left" w:pos="4830"/>
        </w:tabs>
        <w:spacing w:before="200" w:after="200" w:line="240" w:lineRule="auto"/>
        <w:jc w:val="center"/>
        <w:rPr>
          <w:rFonts w:ascii="Cambria" w:eastAsia="Cambria" w:hAnsi="Cambria" w:cstheme="minorHAnsi"/>
          <w:b/>
          <w:bCs/>
          <w:color w:val="006600"/>
          <w:sz w:val="24"/>
          <w:szCs w:val="24"/>
        </w:rPr>
      </w:pPr>
      <w:r w:rsidRPr="00A25298">
        <w:rPr>
          <w:rFonts w:ascii="Cambria" w:eastAsia="Cambria" w:hAnsi="Cambria" w:cstheme="minorHAnsi"/>
          <w:b/>
          <w:bCs/>
          <w:color w:val="006600"/>
          <w:sz w:val="24"/>
          <w:szCs w:val="24"/>
        </w:rPr>
        <w:t>BEST PRACTICES</w:t>
      </w:r>
    </w:p>
    <w:p w14:paraId="3F42EC9D" w14:textId="1E392576" w:rsidR="00C80850" w:rsidRPr="00A25298" w:rsidRDefault="4185721B" w:rsidP="00738E72">
      <w:pPr>
        <w:pStyle w:val="Heading3"/>
        <w:spacing w:after="200" w:line="240" w:lineRule="auto"/>
        <w:jc w:val="both"/>
        <w:rPr>
          <w:rFonts w:ascii="Cambria" w:eastAsia="Cambria" w:hAnsi="Cambria" w:cstheme="minorHAnsi"/>
          <w:b/>
          <w:bCs/>
          <w:color w:val="000000" w:themeColor="text1"/>
          <w:sz w:val="22"/>
          <w:szCs w:val="22"/>
        </w:rPr>
      </w:pPr>
      <w:r w:rsidRPr="00A25298">
        <w:rPr>
          <w:rFonts w:ascii="Cambria" w:eastAsia="Cambria" w:hAnsi="Cambria" w:cstheme="minorHAnsi"/>
          <w:b/>
          <w:bCs/>
          <w:color w:val="000000" w:themeColor="text1"/>
          <w:sz w:val="22"/>
          <w:szCs w:val="22"/>
        </w:rPr>
        <w:t>Ownership of and Responsibility for Research Data and Research Materials</w:t>
      </w:r>
    </w:p>
    <w:p w14:paraId="767BFAA4" w14:textId="3EF86E6B" w:rsidR="00D04FBD" w:rsidRPr="00A25298" w:rsidRDefault="4185721B" w:rsidP="00738E72">
      <w:pPr>
        <w:pStyle w:val="ListParagraph"/>
        <w:numPr>
          <w:ilvl w:val="0"/>
          <w:numId w:val="4"/>
        </w:numPr>
        <w:spacing w:after="200" w:line="240" w:lineRule="auto"/>
        <w:rPr>
          <w:rFonts w:ascii="Cambria" w:eastAsiaTheme="minorEastAsia" w:hAnsi="Cambria" w:cstheme="minorHAnsi"/>
          <w:color w:val="000000" w:themeColor="text1"/>
        </w:rPr>
      </w:pPr>
      <w:r w:rsidRPr="00A25298">
        <w:rPr>
          <w:rFonts w:ascii="Cambria" w:eastAsia="Cambria" w:hAnsi="Cambria" w:cstheme="minorHAnsi"/>
          <w:color w:val="000000" w:themeColor="text1"/>
        </w:rPr>
        <w:t>In the case of externally</w:t>
      </w:r>
      <w:r w:rsidR="00683566" w:rsidRPr="00A25298">
        <w:rPr>
          <w:rFonts w:ascii="Cambria" w:eastAsia="Cambria" w:hAnsi="Cambria" w:cstheme="minorHAnsi"/>
          <w:color w:val="000000" w:themeColor="text1"/>
        </w:rPr>
        <w:t xml:space="preserve"> </w:t>
      </w:r>
      <w:r w:rsidRPr="00A25298">
        <w:rPr>
          <w:rFonts w:ascii="Cambria" w:eastAsia="Cambria" w:hAnsi="Cambria" w:cstheme="minorHAnsi"/>
          <w:color w:val="000000" w:themeColor="text1"/>
        </w:rPr>
        <w:t xml:space="preserve">sponsored research involving a grant, contract, or other agreement, the institution receiving the funding will </w:t>
      </w:r>
      <w:r w:rsidR="00577CAA" w:rsidRPr="00A25298">
        <w:rPr>
          <w:rFonts w:ascii="Cambria" w:eastAsia="Cambria" w:hAnsi="Cambria" w:cstheme="minorHAnsi"/>
          <w:color w:val="000000" w:themeColor="text1"/>
        </w:rPr>
        <w:t>own</w:t>
      </w:r>
      <w:r w:rsidRPr="00A25298">
        <w:rPr>
          <w:rFonts w:ascii="Cambria" w:eastAsia="Cambria" w:hAnsi="Cambria" w:cstheme="minorHAnsi"/>
          <w:color w:val="000000" w:themeColor="text1"/>
        </w:rPr>
        <w:t xml:space="preserve"> and be primarily responsible for the Research Data and Materials. The PI will be responsible for controlling storage, use, and distribution of Research Data and Materials arising from the research activity, subject to provisions of applicable agreements, university policies and laws. If multiple PIs are involved in the creation of Research Data and Materials, they should agree upfront, via a written data management plan on what rights and responsibilities each will have with respect to Research Data and Materials.</w:t>
      </w:r>
    </w:p>
    <w:p w14:paraId="4DFCC7CF" w14:textId="77777777" w:rsidR="000265B5" w:rsidRPr="00A25298" w:rsidRDefault="4185721B" w:rsidP="772CFB4C">
      <w:pPr>
        <w:pStyle w:val="ListParagraph"/>
        <w:numPr>
          <w:ilvl w:val="0"/>
          <w:numId w:val="4"/>
        </w:numPr>
        <w:spacing w:after="200" w:line="240" w:lineRule="auto"/>
        <w:ind w:left="630"/>
        <w:rPr>
          <w:rFonts w:ascii="Cambria" w:eastAsiaTheme="minorEastAsia" w:hAnsi="Cambria" w:cstheme="minorHAnsi"/>
          <w:color w:val="000000" w:themeColor="text1"/>
        </w:rPr>
      </w:pPr>
      <w:r w:rsidRPr="00A25298">
        <w:rPr>
          <w:rFonts w:ascii="Cambria" w:eastAsia="Cambria" w:hAnsi="Cambria" w:cstheme="minorHAnsi"/>
          <w:color w:val="000000" w:themeColor="text1"/>
        </w:rPr>
        <w:t>Where the research is performed without an agreement, such as in the case of institutionally</w:t>
      </w:r>
      <w:r w:rsidR="00683566" w:rsidRPr="00A25298">
        <w:rPr>
          <w:rFonts w:ascii="Cambria" w:eastAsia="Cambria" w:hAnsi="Cambria" w:cstheme="minorHAnsi"/>
          <w:color w:val="000000" w:themeColor="text1"/>
        </w:rPr>
        <w:t xml:space="preserve"> </w:t>
      </w:r>
      <w:r w:rsidRPr="00A25298">
        <w:rPr>
          <w:rFonts w:ascii="Cambria" w:eastAsia="Cambria" w:hAnsi="Cambria" w:cstheme="minorHAnsi"/>
          <w:color w:val="000000" w:themeColor="text1"/>
        </w:rPr>
        <w:t>sponsored research, or unsponsored activities, the individual primarily responsible for the conduct of the research will be responsible for the storage, use and distribution of the Research Data and Materials arising from the activity.</w:t>
      </w:r>
    </w:p>
    <w:p w14:paraId="0824563C" w14:textId="77777777" w:rsidR="001A6D44" w:rsidRPr="00A25298" w:rsidRDefault="4185721B" w:rsidP="772CFB4C">
      <w:pPr>
        <w:pStyle w:val="ListParagraph"/>
        <w:numPr>
          <w:ilvl w:val="0"/>
          <w:numId w:val="4"/>
        </w:numPr>
        <w:spacing w:after="200" w:line="240" w:lineRule="auto"/>
        <w:ind w:left="630"/>
        <w:rPr>
          <w:rFonts w:ascii="Cambria" w:eastAsiaTheme="minorEastAsia" w:hAnsi="Cambria" w:cstheme="minorHAnsi"/>
          <w:color w:val="000000" w:themeColor="text1"/>
        </w:rPr>
      </w:pPr>
      <w:r w:rsidRPr="00A25298">
        <w:rPr>
          <w:rFonts w:ascii="Cambria" w:eastAsia="Cambria" w:hAnsi="Cambria" w:cstheme="minorHAnsi"/>
          <w:color w:val="000000" w:themeColor="text1"/>
        </w:rPr>
        <w:t>Creation of an appropriate data management plan is highly encouraged for all research that generate Research Data and Materials. When sharing Research Materials outside the University a material transfer agreement should be used.</w:t>
      </w:r>
    </w:p>
    <w:p w14:paraId="157E8F4A" w14:textId="2030B88A" w:rsidR="00C80850" w:rsidRPr="00A25298" w:rsidRDefault="4185721B" w:rsidP="772CFB4C">
      <w:pPr>
        <w:pStyle w:val="ListParagraph"/>
        <w:numPr>
          <w:ilvl w:val="0"/>
          <w:numId w:val="4"/>
        </w:numPr>
        <w:spacing w:after="200" w:line="240" w:lineRule="auto"/>
        <w:ind w:left="630"/>
        <w:rPr>
          <w:rFonts w:ascii="Cambria" w:eastAsiaTheme="minorEastAsia" w:hAnsi="Cambria" w:cstheme="minorHAnsi"/>
          <w:color w:val="000000" w:themeColor="text1"/>
        </w:rPr>
      </w:pPr>
      <w:r w:rsidRPr="00A25298">
        <w:rPr>
          <w:rFonts w:ascii="Cambria" w:eastAsia="Cambria" w:hAnsi="Cambria" w:cstheme="minorHAnsi"/>
          <w:color w:val="000000" w:themeColor="text1"/>
        </w:rPr>
        <w:t xml:space="preserve">Except as otherwise provided in a written agreement, in this Policy or in Section J of the Academic Faculty and Administrative Professional Manual, the University is the owner of Research Data and </w:t>
      </w:r>
      <w:r w:rsidR="260A86FB" w:rsidRPr="00A25298">
        <w:rPr>
          <w:rFonts w:ascii="Cambria" w:eastAsia="Cambria" w:hAnsi="Cambria" w:cstheme="minorHAnsi"/>
          <w:color w:val="000000" w:themeColor="text1"/>
        </w:rPr>
        <w:t>Materials,</w:t>
      </w:r>
      <w:r w:rsidRPr="00A25298">
        <w:rPr>
          <w:rFonts w:ascii="Cambria" w:eastAsia="Cambria" w:hAnsi="Cambria" w:cstheme="minorHAnsi"/>
          <w:color w:val="000000" w:themeColor="text1"/>
        </w:rPr>
        <w:t xml:space="preserve"> and the PI is the steward of the Research Data and Materials that are under their control. PIs are responsible for managing access to Research Data and Materials under their stewardship. PIs will select the vehicle(s) for publication or presentation of the data. PIs decide whether to share </w:t>
      </w:r>
      <w:r w:rsidR="414478CA" w:rsidRPr="00A25298">
        <w:rPr>
          <w:rFonts w:ascii="Cambria" w:eastAsia="Cambria" w:hAnsi="Cambria" w:cstheme="minorHAnsi"/>
          <w:color w:val="000000" w:themeColor="text1"/>
        </w:rPr>
        <w:t>R</w:t>
      </w:r>
      <w:r w:rsidRPr="00A25298">
        <w:rPr>
          <w:rFonts w:ascii="Cambria" w:eastAsia="Cambria" w:hAnsi="Cambria" w:cstheme="minorHAnsi"/>
          <w:color w:val="000000" w:themeColor="text1"/>
        </w:rPr>
        <w:t xml:space="preserve">esearch </w:t>
      </w:r>
      <w:r w:rsidR="741AB8EE" w:rsidRPr="00A25298">
        <w:rPr>
          <w:rFonts w:ascii="Cambria" w:eastAsia="Cambria" w:hAnsi="Cambria" w:cstheme="minorHAnsi"/>
          <w:color w:val="000000" w:themeColor="text1"/>
        </w:rPr>
        <w:t>D</w:t>
      </w:r>
      <w:r w:rsidRPr="00A25298">
        <w:rPr>
          <w:rFonts w:ascii="Cambria" w:eastAsia="Cambria" w:hAnsi="Cambria" w:cstheme="minorHAnsi"/>
          <w:color w:val="000000" w:themeColor="text1"/>
        </w:rPr>
        <w:t>ata, including placing Research Data in public repositories, unless specific terms of sponsorship or other agreements limit this right. Responsibility for Research Data and Materials includes:</w:t>
      </w:r>
    </w:p>
    <w:p w14:paraId="3545B4A2" w14:textId="082AB18D" w:rsidR="00C80850" w:rsidRPr="00A25298" w:rsidRDefault="4185721B" w:rsidP="772CFB4C">
      <w:pPr>
        <w:pStyle w:val="ListParagraph"/>
        <w:numPr>
          <w:ilvl w:val="1"/>
          <w:numId w:val="4"/>
        </w:numPr>
        <w:spacing w:after="200" w:line="240" w:lineRule="auto"/>
        <w:rPr>
          <w:rFonts w:ascii="Cambria" w:eastAsiaTheme="minorEastAsia" w:hAnsi="Cambria" w:cstheme="minorHAnsi"/>
          <w:color w:val="000000" w:themeColor="text1"/>
        </w:rPr>
      </w:pPr>
      <w:r w:rsidRPr="00A25298">
        <w:rPr>
          <w:rFonts w:ascii="Cambria" w:eastAsia="Cambria" w:hAnsi="Cambria" w:cstheme="minorHAnsi"/>
          <w:color w:val="000000" w:themeColor="text1"/>
        </w:rPr>
        <w:t>Development of a formal Research</w:t>
      </w:r>
      <w:r w:rsidR="4B5B7E8E" w:rsidRPr="00A25298">
        <w:rPr>
          <w:rFonts w:ascii="Cambria" w:eastAsia="Cambria" w:hAnsi="Cambria" w:cstheme="minorHAnsi"/>
          <w:color w:val="000000" w:themeColor="text1"/>
        </w:rPr>
        <w:t xml:space="preserve"> Data Management Plan </w:t>
      </w:r>
      <w:r w:rsidRPr="00A25298">
        <w:rPr>
          <w:rFonts w:ascii="Cambria" w:eastAsia="Cambria" w:hAnsi="Cambria" w:cstheme="minorHAnsi"/>
          <w:color w:val="000000" w:themeColor="text1"/>
        </w:rPr>
        <w:t xml:space="preserve">and procedures where appropriate; </w:t>
      </w:r>
    </w:p>
    <w:p w14:paraId="6EFF1B6C" w14:textId="1A96675B" w:rsidR="00C80850" w:rsidRPr="00A25298" w:rsidRDefault="4185721B" w:rsidP="00738E72">
      <w:pPr>
        <w:pStyle w:val="ListParagraph"/>
        <w:numPr>
          <w:ilvl w:val="1"/>
          <w:numId w:val="4"/>
        </w:numPr>
        <w:spacing w:after="200" w:line="240" w:lineRule="auto"/>
        <w:rPr>
          <w:rFonts w:ascii="Cambria" w:eastAsiaTheme="minorEastAsia" w:hAnsi="Cambria" w:cstheme="minorHAnsi"/>
          <w:color w:val="000000" w:themeColor="text1"/>
        </w:rPr>
      </w:pPr>
      <w:r w:rsidRPr="00A25298">
        <w:rPr>
          <w:rFonts w:ascii="Cambria" w:eastAsia="Cambria" w:hAnsi="Cambria" w:cstheme="minorHAnsi"/>
          <w:color w:val="000000" w:themeColor="text1"/>
        </w:rPr>
        <w:lastRenderedPageBreak/>
        <w:t xml:space="preserve">Management of Research Data and Materials ensuring efficient and effective retrieval by the PI, other personnel within the research group, or appropriate administrative personnel or research sponsors; </w:t>
      </w:r>
    </w:p>
    <w:p w14:paraId="3A755387" w14:textId="042DF797" w:rsidR="00C80850" w:rsidRPr="00A25298" w:rsidRDefault="4185721B" w:rsidP="00738E72">
      <w:pPr>
        <w:pStyle w:val="ListParagraph"/>
        <w:numPr>
          <w:ilvl w:val="1"/>
          <w:numId w:val="4"/>
        </w:numPr>
        <w:spacing w:after="200" w:line="240" w:lineRule="auto"/>
        <w:rPr>
          <w:rFonts w:ascii="Cambria" w:eastAsiaTheme="minorEastAsia" w:hAnsi="Cambria" w:cstheme="minorHAnsi"/>
          <w:color w:val="000000" w:themeColor="text1"/>
        </w:rPr>
      </w:pPr>
      <w:r w:rsidRPr="00A25298">
        <w:rPr>
          <w:rFonts w:ascii="Cambria" w:eastAsia="Cambria" w:hAnsi="Cambria" w:cstheme="minorHAnsi"/>
          <w:color w:val="000000" w:themeColor="text1"/>
        </w:rPr>
        <w:t>Making reasonable and equitable decisions about the use of and access to Research Data and Materials by those involved in projects from which they arise including, without limitation, students;</w:t>
      </w:r>
    </w:p>
    <w:p w14:paraId="3D0D89E6" w14:textId="734F69A3" w:rsidR="00C80850" w:rsidRPr="00A25298" w:rsidRDefault="4185721B" w:rsidP="772CFB4C">
      <w:pPr>
        <w:pStyle w:val="ListParagraph"/>
        <w:numPr>
          <w:ilvl w:val="1"/>
          <w:numId w:val="4"/>
        </w:numPr>
        <w:spacing w:after="200" w:line="240" w:lineRule="auto"/>
        <w:rPr>
          <w:rFonts w:ascii="Cambria" w:eastAsiaTheme="minorEastAsia" w:hAnsi="Cambria" w:cstheme="minorHAnsi"/>
          <w:color w:val="000000" w:themeColor="text1"/>
        </w:rPr>
      </w:pPr>
      <w:r w:rsidRPr="00A25298">
        <w:rPr>
          <w:rFonts w:ascii="Cambria" w:eastAsia="Cambria" w:hAnsi="Cambria" w:cstheme="minorHAnsi"/>
          <w:color w:val="000000" w:themeColor="text1"/>
        </w:rPr>
        <w:t>Educating/advising individuals using or having access to the Research Data and Materials of the requirements of data management plans and procedures or other applicable controls, limitations or compliance requirements</w:t>
      </w:r>
      <w:r w:rsidR="7845DF47" w:rsidRPr="00A25298">
        <w:rPr>
          <w:rFonts w:ascii="Cambria" w:eastAsia="Cambria" w:hAnsi="Cambria" w:cstheme="minorHAnsi"/>
          <w:color w:val="000000" w:themeColor="text1"/>
        </w:rPr>
        <w:t xml:space="preserve"> employing Data Use Agreements (DUA) and Data Transfer Agreements (DTA) as necessary</w:t>
      </w:r>
      <w:r w:rsidRPr="00A25298">
        <w:rPr>
          <w:rFonts w:ascii="Cambria" w:eastAsia="Cambria" w:hAnsi="Cambria" w:cstheme="minorHAnsi"/>
          <w:color w:val="000000" w:themeColor="text1"/>
        </w:rPr>
        <w:t>;</w:t>
      </w:r>
    </w:p>
    <w:p w14:paraId="3B3F5B2F" w14:textId="5DC73B38" w:rsidR="00C80850" w:rsidRPr="00A25298" w:rsidRDefault="4185721B" w:rsidP="772CFB4C">
      <w:pPr>
        <w:pStyle w:val="ListParagraph"/>
        <w:numPr>
          <w:ilvl w:val="1"/>
          <w:numId w:val="4"/>
        </w:numPr>
        <w:spacing w:after="200" w:line="240" w:lineRule="auto"/>
        <w:rPr>
          <w:rFonts w:ascii="Cambria" w:eastAsiaTheme="minorEastAsia" w:hAnsi="Cambria" w:cstheme="minorHAnsi"/>
          <w:color w:val="000000" w:themeColor="text1"/>
        </w:rPr>
      </w:pPr>
      <w:r w:rsidRPr="00A25298">
        <w:rPr>
          <w:rFonts w:ascii="Cambria" w:eastAsia="Cambria" w:hAnsi="Cambria" w:cstheme="minorHAnsi"/>
          <w:color w:val="000000" w:themeColor="text1"/>
        </w:rPr>
        <w:t>Collection of Research Data, including production of defensible laboratory notebooks that are attributable, legible</w:t>
      </w:r>
      <w:r w:rsidR="52840D44" w:rsidRPr="00A25298">
        <w:rPr>
          <w:rFonts w:ascii="Cambria" w:eastAsia="Cambria" w:hAnsi="Cambria" w:cstheme="minorHAnsi"/>
          <w:color w:val="000000" w:themeColor="text1"/>
        </w:rPr>
        <w:t>,</w:t>
      </w:r>
      <w:r w:rsidRPr="00A25298">
        <w:rPr>
          <w:rFonts w:ascii="Cambria" w:eastAsia="Cambria" w:hAnsi="Cambria" w:cstheme="minorHAnsi"/>
          <w:color w:val="000000" w:themeColor="text1"/>
        </w:rPr>
        <w:t xml:space="preserve"> contemporaneous, complete, </w:t>
      </w:r>
      <w:r w:rsidR="009C2C94" w:rsidRPr="00A25298">
        <w:rPr>
          <w:rFonts w:ascii="Cambria" w:eastAsia="Cambria" w:hAnsi="Cambria" w:cstheme="minorHAnsi"/>
          <w:color w:val="000000" w:themeColor="text1"/>
        </w:rPr>
        <w:t>original,</w:t>
      </w:r>
      <w:r w:rsidRPr="00A25298">
        <w:rPr>
          <w:rFonts w:ascii="Cambria" w:eastAsia="Cambria" w:hAnsi="Cambria" w:cstheme="minorHAnsi"/>
          <w:color w:val="000000" w:themeColor="text1"/>
        </w:rPr>
        <w:t xml:space="preserve"> and accurate;</w:t>
      </w:r>
    </w:p>
    <w:p w14:paraId="62F159D9" w14:textId="3F37BECB" w:rsidR="00C80850" w:rsidRPr="00A25298" w:rsidRDefault="4185721B" w:rsidP="00738E72">
      <w:pPr>
        <w:pStyle w:val="ListParagraph"/>
        <w:numPr>
          <w:ilvl w:val="1"/>
          <w:numId w:val="4"/>
        </w:numPr>
        <w:spacing w:after="200" w:line="240" w:lineRule="auto"/>
        <w:rPr>
          <w:rFonts w:ascii="Cambria" w:eastAsiaTheme="minorEastAsia" w:hAnsi="Cambria" w:cstheme="minorHAnsi"/>
          <w:color w:val="000000" w:themeColor="text1"/>
        </w:rPr>
      </w:pPr>
      <w:r w:rsidRPr="00A25298">
        <w:rPr>
          <w:rFonts w:ascii="Cambria" w:eastAsia="Cambria" w:hAnsi="Cambria" w:cstheme="minorHAnsi"/>
          <w:color w:val="000000" w:themeColor="text1"/>
        </w:rPr>
        <w:t>Making reasoned decisions with respect to the need to retain raw and working data or records that are incorporated into the “final research data</w:t>
      </w:r>
      <w:r w:rsidR="00440DE9" w:rsidRPr="00A25298">
        <w:rPr>
          <w:rFonts w:ascii="Cambria" w:eastAsia="Cambria" w:hAnsi="Cambria" w:cstheme="minorHAnsi"/>
          <w:color w:val="000000" w:themeColor="text1"/>
        </w:rPr>
        <w:t>;”</w:t>
      </w:r>
    </w:p>
    <w:p w14:paraId="3AA40ADC" w14:textId="7909AC74" w:rsidR="00C80850" w:rsidRPr="00A25298" w:rsidRDefault="4185721B" w:rsidP="00738E72">
      <w:pPr>
        <w:pStyle w:val="ListParagraph"/>
        <w:numPr>
          <w:ilvl w:val="1"/>
          <w:numId w:val="4"/>
        </w:numPr>
        <w:spacing w:after="200" w:line="240" w:lineRule="auto"/>
        <w:rPr>
          <w:rFonts w:ascii="Cambria" w:eastAsiaTheme="minorEastAsia" w:hAnsi="Cambria" w:cstheme="minorHAnsi"/>
          <w:color w:val="000000" w:themeColor="text1"/>
        </w:rPr>
      </w:pPr>
      <w:r w:rsidRPr="00A25298">
        <w:rPr>
          <w:rFonts w:ascii="Cambria" w:eastAsia="Cambria" w:hAnsi="Cambria" w:cstheme="minorHAnsi"/>
          <w:color w:val="000000" w:themeColor="text1"/>
        </w:rPr>
        <w:t>Establishing a system for preserving Research Data and Materials in the event of a natural disaster or other emergency;</w:t>
      </w:r>
    </w:p>
    <w:p w14:paraId="083732D4" w14:textId="756927D6" w:rsidR="00C80850" w:rsidRPr="00A25298" w:rsidRDefault="4185721B" w:rsidP="00738E72">
      <w:pPr>
        <w:pStyle w:val="ListParagraph"/>
        <w:numPr>
          <w:ilvl w:val="1"/>
          <w:numId w:val="4"/>
        </w:numPr>
        <w:spacing w:after="200" w:line="240" w:lineRule="auto"/>
        <w:rPr>
          <w:rFonts w:ascii="Cambria" w:eastAsiaTheme="minorEastAsia" w:hAnsi="Cambria" w:cstheme="minorHAnsi"/>
          <w:color w:val="000000" w:themeColor="text1"/>
        </w:rPr>
      </w:pPr>
      <w:r w:rsidRPr="00A25298">
        <w:rPr>
          <w:rFonts w:ascii="Cambria" w:eastAsia="Cambria" w:hAnsi="Cambria" w:cstheme="minorHAnsi"/>
          <w:color w:val="000000" w:themeColor="text1"/>
        </w:rPr>
        <w:t>Retention of Research Data for the requisite period (see below); and</w:t>
      </w:r>
    </w:p>
    <w:p w14:paraId="525A9B58" w14:textId="1C8AA1A8" w:rsidR="00C80850" w:rsidRPr="00A25298" w:rsidRDefault="4185721B" w:rsidP="1AA55F24">
      <w:pPr>
        <w:pStyle w:val="ListParagraph"/>
        <w:numPr>
          <w:ilvl w:val="1"/>
          <w:numId w:val="4"/>
        </w:numPr>
        <w:spacing w:after="200" w:line="240" w:lineRule="auto"/>
        <w:rPr>
          <w:rFonts w:ascii="Cambria" w:eastAsiaTheme="minorEastAsia" w:hAnsi="Cambria" w:cstheme="minorHAnsi"/>
          <w:color w:val="000000" w:themeColor="text1"/>
        </w:rPr>
      </w:pPr>
      <w:r w:rsidRPr="00A25298">
        <w:rPr>
          <w:rFonts w:ascii="Cambria" w:eastAsia="Cambria" w:hAnsi="Cambria" w:cstheme="minorHAnsi"/>
          <w:color w:val="000000" w:themeColor="text1"/>
        </w:rPr>
        <w:t>When significant elements of archival data are provided externally, in a federal or federally</w:t>
      </w:r>
      <w:r w:rsidR="00EB5FB7" w:rsidRPr="00A25298">
        <w:rPr>
          <w:rFonts w:ascii="Cambria" w:eastAsia="Cambria" w:hAnsi="Cambria" w:cstheme="minorHAnsi"/>
          <w:color w:val="000000" w:themeColor="text1"/>
        </w:rPr>
        <w:t xml:space="preserve"> </w:t>
      </w:r>
      <w:r w:rsidRPr="00A25298">
        <w:rPr>
          <w:rFonts w:ascii="Cambria" w:eastAsia="Cambria" w:hAnsi="Cambria" w:cstheme="minorHAnsi"/>
          <w:color w:val="000000" w:themeColor="text1"/>
        </w:rPr>
        <w:t>funded archive for example, appropriate references to those data resources must be provided in the publications, theses, and other forms of dissemination of the research;</w:t>
      </w:r>
    </w:p>
    <w:p w14:paraId="2DE2BD4B" w14:textId="79650C62" w:rsidR="1AA55F24" w:rsidRPr="00A25298" w:rsidRDefault="1AA55F24" w:rsidP="1AA55F24">
      <w:pPr>
        <w:pStyle w:val="ListParagraph"/>
        <w:numPr>
          <w:ilvl w:val="1"/>
          <w:numId w:val="4"/>
        </w:numPr>
        <w:spacing w:after="200" w:line="240" w:lineRule="auto"/>
        <w:rPr>
          <w:rFonts w:ascii="Cambria" w:eastAsiaTheme="minorEastAsia" w:hAnsi="Cambria" w:cstheme="minorHAnsi"/>
          <w:color w:val="000000" w:themeColor="text1"/>
        </w:rPr>
      </w:pPr>
      <w:r w:rsidRPr="00A25298">
        <w:rPr>
          <w:rFonts w:ascii="Cambria" w:eastAsiaTheme="minorEastAsia" w:hAnsi="Cambria" w:cstheme="minorHAnsi"/>
          <w:color w:val="000000" w:themeColor="text1"/>
        </w:rPr>
        <w:t xml:space="preserve">Ensuring that </w:t>
      </w:r>
      <w:r w:rsidRPr="00A25298">
        <w:rPr>
          <w:rFonts w:ascii="Cambria" w:eastAsia="Calibri" w:hAnsi="Cambria" w:cstheme="minorHAnsi"/>
        </w:rPr>
        <w:t>data is protected in accordance with its level of sensitivity and any additional federal, state, local regulations.</w:t>
      </w:r>
    </w:p>
    <w:p w14:paraId="0428D848" w14:textId="0C96D153" w:rsidR="00F56B4F" w:rsidRPr="00A25298" w:rsidRDefault="0036709F" w:rsidP="00F56B4F">
      <w:pPr>
        <w:pStyle w:val="ListParagraph"/>
        <w:numPr>
          <w:ilvl w:val="0"/>
          <w:numId w:val="4"/>
        </w:numPr>
        <w:spacing w:after="200" w:line="240" w:lineRule="auto"/>
        <w:rPr>
          <w:rFonts w:ascii="Cambria" w:eastAsiaTheme="minorEastAsia" w:hAnsi="Cambria" w:cstheme="minorHAnsi"/>
          <w:color w:val="000000" w:themeColor="text1"/>
        </w:rPr>
      </w:pPr>
      <w:r w:rsidRPr="00A25298">
        <w:rPr>
          <w:rFonts w:ascii="Cambria" w:eastAsia="Cambria" w:hAnsi="Cambria" w:cstheme="minorHAnsi"/>
          <w:color w:val="000000" w:themeColor="text1"/>
        </w:rPr>
        <w:t>Students own research data that they generate or acquire in their academic work, unless the research data are:</w:t>
      </w:r>
    </w:p>
    <w:p w14:paraId="7FAE2B45" w14:textId="60B85065" w:rsidR="0036709F" w:rsidRPr="00A25298" w:rsidRDefault="0036709F" w:rsidP="0036709F">
      <w:pPr>
        <w:pStyle w:val="ListParagraph"/>
        <w:numPr>
          <w:ilvl w:val="1"/>
          <w:numId w:val="4"/>
        </w:numPr>
        <w:spacing w:after="200" w:line="240" w:lineRule="auto"/>
        <w:rPr>
          <w:rFonts w:ascii="Cambria" w:eastAsiaTheme="minorEastAsia" w:hAnsi="Cambria" w:cstheme="minorHAnsi"/>
          <w:color w:val="000000" w:themeColor="text1"/>
        </w:rPr>
      </w:pPr>
      <w:r w:rsidRPr="00A25298">
        <w:rPr>
          <w:rFonts w:ascii="Cambria" w:eastAsia="Cambria" w:hAnsi="Cambria" w:cstheme="minorHAnsi"/>
          <w:color w:val="000000" w:themeColor="text1"/>
        </w:rPr>
        <w:t>Generated or acquired within the sc</w:t>
      </w:r>
      <w:r w:rsidR="00B2647C" w:rsidRPr="00A25298">
        <w:rPr>
          <w:rFonts w:ascii="Cambria" w:eastAsia="Cambria" w:hAnsi="Cambria" w:cstheme="minorHAnsi"/>
          <w:color w:val="000000" w:themeColor="text1"/>
        </w:rPr>
        <w:t>o</w:t>
      </w:r>
      <w:r w:rsidRPr="00A25298">
        <w:rPr>
          <w:rFonts w:ascii="Cambria" w:eastAsia="Cambria" w:hAnsi="Cambria" w:cstheme="minorHAnsi"/>
          <w:color w:val="000000" w:themeColor="text1"/>
        </w:rPr>
        <w:t>pe of their employment at the university;</w:t>
      </w:r>
    </w:p>
    <w:p w14:paraId="5602551E" w14:textId="261B4D4B" w:rsidR="0036709F" w:rsidRPr="00A25298" w:rsidRDefault="0036709F" w:rsidP="0036709F">
      <w:pPr>
        <w:pStyle w:val="ListParagraph"/>
        <w:numPr>
          <w:ilvl w:val="1"/>
          <w:numId w:val="4"/>
        </w:numPr>
        <w:spacing w:after="200" w:line="240" w:lineRule="auto"/>
        <w:rPr>
          <w:rFonts w:ascii="Cambria" w:eastAsiaTheme="minorEastAsia" w:hAnsi="Cambria" w:cstheme="minorHAnsi"/>
          <w:color w:val="000000" w:themeColor="text1"/>
        </w:rPr>
      </w:pPr>
      <w:r w:rsidRPr="00A25298">
        <w:rPr>
          <w:rFonts w:ascii="Cambria" w:eastAsia="Cambria" w:hAnsi="Cambria" w:cstheme="minorHAnsi"/>
          <w:color w:val="000000" w:themeColor="text1"/>
        </w:rPr>
        <w:t xml:space="preserve">generated or acquired through use of </w:t>
      </w:r>
      <w:r w:rsidR="00FA2EA3" w:rsidRPr="00A25298">
        <w:rPr>
          <w:rFonts w:ascii="Cambria" w:eastAsia="Cambria" w:hAnsi="Cambria" w:cstheme="minorHAnsi"/>
          <w:color w:val="000000" w:themeColor="text1"/>
        </w:rPr>
        <w:t>extraordinary university resources</w:t>
      </w:r>
      <w:r w:rsidR="00FF5B81" w:rsidRPr="00A25298">
        <w:rPr>
          <w:rFonts w:ascii="Cambria" w:eastAsia="Cambria" w:hAnsi="Cambria" w:cstheme="minorHAnsi"/>
          <w:color w:val="000000" w:themeColor="text1"/>
        </w:rPr>
        <w:t xml:space="preserve"> (see Section </w:t>
      </w:r>
      <w:r w:rsidR="00FF09CA" w:rsidRPr="00A25298">
        <w:rPr>
          <w:rFonts w:ascii="Cambria" w:eastAsia="Cambria" w:hAnsi="Cambria" w:cstheme="minorHAnsi"/>
          <w:color w:val="000000" w:themeColor="text1"/>
        </w:rPr>
        <w:t>J of the Faculty Manual)</w:t>
      </w:r>
      <w:r w:rsidRPr="00A25298">
        <w:rPr>
          <w:rFonts w:ascii="Cambria" w:eastAsia="Cambria" w:hAnsi="Cambria" w:cstheme="minorHAnsi"/>
          <w:color w:val="000000" w:themeColor="text1"/>
        </w:rPr>
        <w:t>; or</w:t>
      </w:r>
    </w:p>
    <w:p w14:paraId="63B1DA72" w14:textId="4122F065" w:rsidR="0036709F" w:rsidRPr="00A25298" w:rsidRDefault="0036709F" w:rsidP="1AA55F24">
      <w:pPr>
        <w:pStyle w:val="ListParagraph"/>
        <w:numPr>
          <w:ilvl w:val="1"/>
          <w:numId w:val="4"/>
        </w:numPr>
        <w:spacing w:after="200" w:line="240" w:lineRule="auto"/>
        <w:rPr>
          <w:rFonts w:ascii="Cambria" w:eastAsiaTheme="minorEastAsia" w:hAnsi="Cambria" w:cstheme="minorHAnsi"/>
          <w:color w:val="000000" w:themeColor="text1"/>
        </w:rPr>
      </w:pPr>
      <w:r w:rsidRPr="00A25298">
        <w:rPr>
          <w:rFonts w:ascii="Cambria" w:eastAsia="Cambria" w:hAnsi="Cambria" w:cstheme="minorHAnsi"/>
          <w:color w:val="000000" w:themeColor="text1"/>
        </w:rPr>
        <w:t>subject to other agreements that supersede this right</w:t>
      </w:r>
      <w:r w:rsidR="00345091" w:rsidRPr="00A25298">
        <w:rPr>
          <w:rFonts w:ascii="Cambria" w:eastAsia="Cambria" w:hAnsi="Cambria" w:cstheme="minorHAnsi"/>
          <w:color w:val="000000" w:themeColor="text1"/>
        </w:rPr>
        <w:t>.</w:t>
      </w:r>
    </w:p>
    <w:p w14:paraId="48FB8866" w14:textId="362CD3B3" w:rsidR="00C80850" w:rsidRPr="00A25298" w:rsidRDefault="4185721B" w:rsidP="00738E72">
      <w:pPr>
        <w:pStyle w:val="Heading3"/>
        <w:spacing w:after="200" w:line="240" w:lineRule="auto"/>
        <w:jc w:val="both"/>
        <w:rPr>
          <w:rFonts w:ascii="Cambria" w:eastAsia="Cambria" w:hAnsi="Cambria" w:cstheme="minorHAnsi"/>
          <w:b/>
          <w:bCs/>
          <w:color w:val="000000" w:themeColor="text1"/>
          <w:sz w:val="22"/>
          <w:szCs w:val="22"/>
        </w:rPr>
      </w:pPr>
      <w:r w:rsidRPr="00A25298">
        <w:rPr>
          <w:rFonts w:ascii="Cambria" w:eastAsia="Cambria" w:hAnsi="Cambria" w:cstheme="minorHAnsi"/>
          <w:b/>
          <w:bCs/>
          <w:color w:val="000000" w:themeColor="text1"/>
          <w:sz w:val="22"/>
          <w:szCs w:val="22"/>
        </w:rPr>
        <w:t>Retention of Research Data arising from Sponsored Projects</w:t>
      </w:r>
      <w:r w:rsidRPr="00A25298">
        <w:rPr>
          <w:rFonts w:ascii="Cambria" w:eastAsia="Cambria" w:hAnsi="Cambria" w:cstheme="minorHAnsi"/>
          <w:b/>
          <w:bCs/>
          <w:i/>
          <w:iCs/>
          <w:color w:val="000000" w:themeColor="text1"/>
          <w:sz w:val="22"/>
          <w:szCs w:val="22"/>
        </w:rPr>
        <w:t xml:space="preserve"> </w:t>
      </w:r>
    </w:p>
    <w:p w14:paraId="5F97DF7F" w14:textId="02503ECE" w:rsidR="00C80850" w:rsidRPr="00A25298" w:rsidRDefault="4185721B" w:rsidP="00738E72">
      <w:pPr>
        <w:spacing w:after="200" w:line="240" w:lineRule="auto"/>
        <w:rPr>
          <w:rFonts w:ascii="Cambria" w:eastAsia="Cambria" w:hAnsi="Cambria" w:cstheme="minorHAnsi"/>
          <w:color w:val="000000" w:themeColor="text1"/>
        </w:rPr>
      </w:pPr>
      <w:r w:rsidRPr="00A25298">
        <w:rPr>
          <w:rFonts w:ascii="Cambria" w:eastAsia="Cambria" w:hAnsi="Cambria" w:cstheme="minorHAnsi"/>
          <w:color w:val="000000" w:themeColor="text1"/>
        </w:rPr>
        <w:t>The supervising faculty member, PI, or laboratory/department head must preserve Research Data for a minimum of three (3) years after the final project close-out/completion, with original Research Data retained and/or made available where feasible. The following circumstances may require longer retention and may involve other offices or entities specific to the purpose for such retention:</w:t>
      </w:r>
    </w:p>
    <w:p w14:paraId="6437A081" w14:textId="06644F2C" w:rsidR="00C80850" w:rsidRPr="00A25298" w:rsidRDefault="4185721B" w:rsidP="00738E72">
      <w:pPr>
        <w:pStyle w:val="ListParagraph"/>
        <w:numPr>
          <w:ilvl w:val="0"/>
          <w:numId w:val="2"/>
        </w:numPr>
        <w:spacing w:after="200" w:line="240" w:lineRule="auto"/>
        <w:rPr>
          <w:rFonts w:ascii="Cambria" w:eastAsiaTheme="minorEastAsia" w:hAnsi="Cambria" w:cstheme="minorHAnsi"/>
          <w:color w:val="000000" w:themeColor="text1"/>
        </w:rPr>
      </w:pPr>
      <w:r w:rsidRPr="00A25298">
        <w:rPr>
          <w:rFonts w:ascii="Cambria" w:eastAsia="Cambria" w:hAnsi="Cambria" w:cstheme="minorHAnsi"/>
          <w:color w:val="000000" w:themeColor="text1"/>
        </w:rPr>
        <w:t xml:space="preserve">Where Research Data supports a patent, such Research Data must be retained and/or made available </w:t>
      </w:r>
      <w:proofErr w:type="gramStart"/>
      <w:r w:rsidRPr="00A25298">
        <w:rPr>
          <w:rFonts w:ascii="Cambria" w:eastAsia="Cambria" w:hAnsi="Cambria" w:cstheme="minorHAnsi"/>
          <w:color w:val="000000" w:themeColor="text1"/>
        </w:rPr>
        <w:t>as long as</w:t>
      </w:r>
      <w:proofErr w:type="gramEnd"/>
      <w:r w:rsidRPr="00A25298">
        <w:rPr>
          <w:rFonts w:ascii="Cambria" w:eastAsia="Cambria" w:hAnsi="Cambria" w:cstheme="minorHAnsi"/>
          <w:color w:val="000000" w:themeColor="text1"/>
        </w:rPr>
        <w:t xml:space="preserve"> the patent and any derivative patents are pending or valid;</w:t>
      </w:r>
    </w:p>
    <w:p w14:paraId="0FB2ACE1" w14:textId="7226783A" w:rsidR="00C80850" w:rsidRPr="00A25298" w:rsidRDefault="4185721B" w:rsidP="00738E72">
      <w:pPr>
        <w:pStyle w:val="ListParagraph"/>
        <w:numPr>
          <w:ilvl w:val="0"/>
          <w:numId w:val="2"/>
        </w:numPr>
        <w:spacing w:after="200" w:line="240" w:lineRule="auto"/>
        <w:rPr>
          <w:rFonts w:ascii="Cambria" w:eastAsiaTheme="minorEastAsia" w:hAnsi="Cambria" w:cstheme="minorHAnsi"/>
          <w:color w:val="000000" w:themeColor="text1"/>
        </w:rPr>
      </w:pPr>
      <w:r w:rsidRPr="00A25298">
        <w:rPr>
          <w:rFonts w:ascii="Cambria" w:eastAsia="Cambria" w:hAnsi="Cambria" w:cstheme="minorHAnsi"/>
          <w:color w:val="000000" w:themeColor="text1"/>
        </w:rPr>
        <w:t xml:space="preserve">If allegations of scientific misconduct, conflict of interest, or other charges arise, Research Data must be </w:t>
      </w:r>
      <w:r w:rsidR="004C7314" w:rsidRPr="00A25298">
        <w:rPr>
          <w:rFonts w:ascii="Cambria" w:eastAsia="Cambria" w:hAnsi="Cambria" w:cstheme="minorHAnsi"/>
          <w:color w:val="000000" w:themeColor="text1"/>
        </w:rPr>
        <w:t>kept</w:t>
      </w:r>
      <w:r w:rsidRPr="00A25298">
        <w:rPr>
          <w:rFonts w:ascii="Cambria" w:eastAsia="Cambria" w:hAnsi="Cambria" w:cstheme="minorHAnsi"/>
          <w:color w:val="000000" w:themeColor="text1"/>
        </w:rPr>
        <w:t xml:space="preserve"> and/or made available until such charges are fully resolved;</w:t>
      </w:r>
    </w:p>
    <w:p w14:paraId="7EF5F0F9" w14:textId="1FC062E9" w:rsidR="00C80850" w:rsidRPr="00A25298" w:rsidRDefault="4185721B" w:rsidP="00738E72">
      <w:pPr>
        <w:pStyle w:val="ListParagraph"/>
        <w:numPr>
          <w:ilvl w:val="0"/>
          <w:numId w:val="2"/>
        </w:numPr>
        <w:spacing w:after="200" w:line="240" w:lineRule="auto"/>
        <w:rPr>
          <w:rFonts w:ascii="Cambria" w:eastAsiaTheme="minorEastAsia" w:hAnsi="Cambria" w:cstheme="minorHAnsi"/>
          <w:color w:val="000000" w:themeColor="text1"/>
        </w:rPr>
      </w:pPr>
      <w:r w:rsidRPr="00A25298">
        <w:rPr>
          <w:rFonts w:ascii="Cambria" w:eastAsia="Cambria" w:hAnsi="Cambria" w:cstheme="minorHAnsi"/>
          <w:color w:val="000000" w:themeColor="text1"/>
        </w:rPr>
        <w:t>If a student is involved in the project(s) generating Research Data, the Research Data must be retained and/or made available at least until the degree is awarded or the student has unambiguously abandoned the work; and</w:t>
      </w:r>
    </w:p>
    <w:p w14:paraId="1BF0E1A5" w14:textId="48DF38F0" w:rsidR="00C80850" w:rsidRPr="00A25298" w:rsidRDefault="4185721B" w:rsidP="00738E72">
      <w:pPr>
        <w:pStyle w:val="ListParagraph"/>
        <w:numPr>
          <w:ilvl w:val="0"/>
          <w:numId w:val="2"/>
        </w:numPr>
        <w:spacing w:after="200" w:line="240" w:lineRule="auto"/>
        <w:rPr>
          <w:rFonts w:ascii="Cambria" w:eastAsiaTheme="minorEastAsia" w:hAnsi="Cambria" w:cstheme="minorHAnsi"/>
          <w:color w:val="000000" w:themeColor="text1"/>
        </w:rPr>
      </w:pPr>
      <w:r w:rsidRPr="00A25298">
        <w:rPr>
          <w:rFonts w:ascii="Cambria" w:eastAsia="Cambria" w:hAnsi="Cambria" w:cstheme="minorHAnsi"/>
          <w:color w:val="000000" w:themeColor="text1"/>
        </w:rPr>
        <w:t xml:space="preserve">Research Data must be </w:t>
      </w:r>
      <w:r w:rsidR="00DB3EFD" w:rsidRPr="00A25298">
        <w:rPr>
          <w:rFonts w:ascii="Cambria" w:eastAsia="Cambria" w:hAnsi="Cambria" w:cstheme="minorHAnsi"/>
          <w:color w:val="000000" w:themeColor="text1"/>
        </w:rPr>
        <w:t>kept</w:t>
      </w:r>
      <w:r w:rsidRPr="00A25298">
        <w:rPr>
          <w:rFonts w:ascii="Cambria" w:eastAsia="Cambria" w:hAnsi="Cambria" w:cstheme="minorHAnsi"/>
          <w:color w:val="000000" w:themeColor="text1"/>
        </w:rPr>
        <w:t xml:space="preserve"> and/or made available if required by the terms of a grant, contract, or other agreement, or applicable law.</w:t>
      </w:r>
    </w:p>
    <w:p w14:paraId="04C2B442" w14:textId="3698305F" w:rsidR="00C80850" w:rsidRPr="00A25298" w:rsidRDefault="4185721B" w:rsidP="1AA55F24">
      <w:pPr>
        <w:spacing w:after="200" w:line="240" w:lineRule="auto"/>
        <w:rPr>
          <w:rFonts w:ascii="Cambria" w:eastAsia="Cambria" w:hAnsi="Cambria" w:cstheme="minorHAnsi"/>
          <w:color w:val="000000" w:themeColor="text1"/>
        </w:rPr>
      </w:pPr>
      <w:r w:rsidRPr="00A25298">
        <w:rPr>
          <w:rFonts w:ascii="Cambria" w:eastAsia="Cambria" w:hAnsi="Cambria" w:cstheme="minorHAnsi"/>
          <w:color w:val="000000" w:themeColor="text1"/>
        </w:rPr>
        <w:t>After all retention periods have expired, destruction is at the discretion of the PI</w:t>
      </w:r>
      <w:r w:rsidR="1982DCA9" w:rsidRPr="00A25298">
        <w:rPr>
          <w:rFonts w:ascii="Cambria" w:eastAsia="Cambria" w:hAnsi="Cambria" w:cstheme="minorHAnsi"/>
          <w:color w:val="000000" w:themeColor="text1"/>
        </w:rPr>
        <w:t xml:space="preserve">, Research Staff or Student, and </w:t>
      </w:r>
      <w:r w:rsidR="1AA55F24" w:rsidRPr="00A25298">
        <w:rPr>
          <w:rFonts w:ascii="Cambria" w:eastAsia="Calibri" w:hAnsi="Cambria" w:cstheme="minorHAnsi"/>
        </w:rPr>
        <w:t>in accordance with applicable regulations</w:t>
      </w:r>
      <w:r w:rsidRPr="00A25298">
        <w:rPr>
          <w:rFonts w:ascii="Cambria" w:eastAsia="Cambria" w:hAnsi="Cambria" w:cstheme="minorHAnsi"/>
          <w:color w:val="000000" w:themeColor="text1"/>
        </w:rPr>
        <w:t xml:space="preserve">. Research Data may be </w:t>
      </w:r>
      <w:r w:rsidR="00E03DC4" w:rsidRPr="00A25298">
        <w:rPr>
          <w:rFonts w:ascii="Cambria" w:eastAsia="Cambria" w:hAnsi="Cambria" w:cstheme="minorHAnsi"/>
          <w:color w:val="000000" w:themeColor="text1"/>
        </w:rPr>
        <w:t>kept</w:t>
      </w:r>
      <w:r w:rsidRPr="00A25298">
        <w:rPr>
          <w:rFonts w:ascii="Cambria" w:eastAsia="Cambria" w:hAnsi="Cambria" w:cstheme="minorHAnsi"/>
          <w:color w:val="000000" w:themeColor="text1"/>
        </w:rPr>
        <w:t xml:space="preserve"> in the </w:t>
      </w:r>
      <w:r w:rsidRPr="00A25298">
        <w:rPr>
          <w:rFonts w:ascii="Cambria" w:eastAsia="Cambria" w:hAnsi="Cambria" w:cstheme="minorHAnsi"/>
          <w:color w:val="000000" w:themeColor="text1"/>
        </w:rPr>
        <w:lastRenderedPageBreak/>
        <w:t>administrative unit where generated or elsewhere as appropriate but must in all cases remain accessible by appropriate parties at the University during these retention periods.</w:t>
      </w:r>
    </w:p>
    <w:p w14:paraId="34986A92" w14:textId="640F40C8" w:rsidR="00C80850" w:rsidRPr="00A25298" w:rsidRDefault="4185721B" w:rsidP="00738E72">
      <w:pPr>
        <w:pStyle w:val="Heading3"/>
        <w:spacing w:after="200" w:line="240" w:lineRule="auto"/>
        <w:jc w:val="both"/>
        <w:rPr>
          <w:rFonts w:ascii="Cambria" w:eastAsia="Cambria" w:hAnsi="Cambria" w:cstheme="minorHAnsi"/>
          <w:b/>
          <w:bCs/>
          <w:color w:val="000000" w:themeColor="text1"/>
          <w:sz w:val="22"/>
          <w:szCs w:val="22"/>
        </w:rPr>
      </w:pPr>
      <w:r w:rsidRPr="00A25298">
        <w:rPr>
          <w:rFonts w:ascii="Cambria" w:eastAsia="Cambria" w:hAnsi="Cambria" w:cstheme="minorHAnsi"/>
          <w:b/>
          <w:bCs/>
          <w:color w:val="000000" w:themeColor="text1"/>
          <w:sz w:val="22"/>
          <w:szCs w:val="22"/>
        </w:rPr>
        <w:t>Data Transfer When a Researcher Leaves the University or a Grant is Transferred</w:t>
      </w:r>
    </w:p>
    <w:p w14:paraId="6E8BF6A5" w14:textId="0784768B" w:rsidR="00C80850" w:rsidRPr="00A25298" w:rsidRDefault="4185721B" w:rsidP="00738E72">
      <w:pPr>
        <w:spacing w:after="200" w:line="240" w:lineRule="auto"/>
        <w:rPr>
          <w:rFonts w:ascii="Cambria" w:eastAsia="Cambria" w:hAnsi="Cambria" w:cstheme="minorHAnsi"/>
          <w:color w:val="000000" w:themeColor="text1"/>
        </w:rPr>
      </w:pPr>
      <w:r w:rsidRPr="00A25298">
        <w:rPr>
          <w:rFonts w:ascii="Cambria" w:eastAsia="Cambria" w:hAnsi="Cambria" w:cstheme="minorHAnsi"/>
          <w:color w:val="000000" w:themeColor="text1"/>
        </w:rPr>
        <w:t xml:space="preserve">If a faculty member or PI leaves the University, and a research project is to be moved to another institution, custody of the Research Data or Research Materials may be transferred with the approval of the Associate Vice President for Research, and with written agreement from the former employee’s new institution that guarantees: a) acceptance of custodial responsibilities for the Research Data and/or Research Materials, and b)  Colorado State University will be given access to the Research Data should that become necessary. In all cases, copies of the Research Data must be </w:t>
      </w:r>
      <w:r w:rsidR="00E03DC4" w:rsidRPr="00A25298">
        <w:rPr>
          <w:rFonts w:ascii="Cambria" w:eastAsia="Cambria" w:hAnsi="Cambria" w:cstheme="minorHAnsi"/>
          <w:color w:val="000000" w:themeColor="text1"/>
        </w:rPr>
        <w:t>kept</w:t>
      </w:r>
      <w:r w:rsidRPr="00A25298">
        <w:rPr>
          <w:rFonts w:ascii="Cambria" w:eastAsia="Cambria" w:hAnsi="Cambria" w:cstheme="minorHAnsi"/>
          <w:color w:val="000000" w:themeColor="text1"/>
        </w:rPr>
        <w:t xml:space="preserve"> by and/or made available to the University. CSU may require that at least a portion of Research Materials remain at the University or impose other conditions or restrictions on such transfer.</w:t>
      </w:r>
    </w:p>
    <w:p w14:paraId="1CFBD908" w14:textId="7FC477A7" w:rsidR="00C80850" w:rsidRPr="00A25298" w:rsidRDefault="4185721B" w:rsidP="00738E72">
      <w:pPr>
        <w:spacing w:after="200" w:line="240" w:lineRule="auto"/>
        <w:rPr>
          <w:rFonts w:ascii="Cambria" w:eastAsia="Cambria" w:hAnsi="Cambria" w:cstheme="minorHAnsi"/>
          <w:color w:val="000000" w:themeColor="text1"/>
        </w:rPr>
      </w:pPr>
      <w:r w:rsidRPr="00A25298">
        <w:rPr>
          <w:rFonts w:ascii="Cambria" w:eastAsia="Cambria" w:hAnsi="Cambria" w:cstheme="minorHAnsi"/>
          <w:color w:val="000000" w:themeColor="text1"/>
        </w:rPr>
        <w:t xml:space="preserve">When employees involved in research projects who are not PIs at the University leave the University, they may request permission to take copies of Research Data or take Research Materials for projects on which they have been materially involved with the creation of the Research Data or Materials. This request should be made in writing to the supervising faculty member or PI and approval of such request will not be unreasonably withheld, although it may be subject to reasonable conditions. The PI must, however, </w:t>
      </w:r>
      <w:r w:rsidR="008C7ADF" w:rsidRPr="00A25298">
        <w:rPr>
          <w:rFonts w:ascii="Cambria" w:eastAsia="Cambria" w:hAnsi="Cambria" w:cstheme="minorHAnsi"/>
          <w:color w:val="000000" w:themeColor="text1"/>
        </w:rPr>
        <w:t>keep</w:t>
      </w:r>
      <w:r w:rsidRPr="00A25298">
        <w:rPr>
          <w:rFonts w:ascii="Cambria" w:eastAsia="Cambria" w:hAnsi="Cambria" w:cstheme="minorHAnsi"/>
          <w:color w:val="000000" w:themeColor="text1"/>
        </w:rPr>
        <w:t xml:space="preserve"> the original Research Data and, if relevant, a portion of the Research Materials at the University or ensure they are available if archived/stored elsewhere unless specific permission to do otherwise is granted by the Vice President for Research (or designee). </w:t>
      </w:r>
    </w:p>
    <w:p w14:paraId="5214D32F" w14:textId="4983558D" w:rsidR="00C80850" w:rsidRPr="00A25298" w:rsidRDefault="4185721B" w:rsidP="00738E72">
      <w:pPr>
        <w:spacing w:after="200" w:line="240" w:lineRule="auto"/>
        <w:rPr>
          <w:rFonts w:ascii="Cambria" w:eastAsia="Cambria" w:hAnsi="Cambria" w:cstheme="minorHAnsi"/>
          <w:color w:val="000000" w:themeColor="text1"/>
        </w:rPr>
      </w:pPr>
      <w:r w:rsidRPr="00A25298">
        <w:rPr>
          <w:rFonts w:ascii="Cambria" w:eastAsia="Cambria" w:hAnsi="Cambria" w:cstheme="minorHAnsi"/>
          <w:color w:val="000000" w:themeColor="text1"/>
        </w:rPr>
        <w:t>In all cases, when Research Data or Materials are to be utilized by</w:t>
      </w:r>
      <w:r w:rsidR="54CAF5FE" w:rsidRPr="00A25298">
        <w:rPr>
          <w:rFonts w:ascii="Cambria" w:eastAsia="Cambria" w:hAnsi="Cambria" w:cstheme="minorHAnsi"/>
          <w:color w:val="000000" w:themeColor="text1"/>
        </w:rPr>
        <w:t xml:space="preserve"> Research Staff or Students</w:t>
      </w:r>
      <w:r w:rsidRPr="00A25298">
        <w:rPr>
          <w:rFonts w:ascii="Cambria" w:eastAsia="Cambria" w:hAnsi="Cambria" w:cstheme="minorHAnsi"/>
          <w:color w:val="000000" w:themeColor="text1"/>
        </w:rPr>
        <w:t xml:space="preserve"> after leaving the University, any future publication utilizing the Research Data or Materials, in whole or in part, must be approved by the University PI who oversaw creation of the Research Data, which approval shall not be unreasonably withheld or conditioned. Proper credit and attribution, including authorship, must be given in all such publications.</w:t>
      </w:r>
    </w:p>
    <w:p w14:paraId="66064734" w14:textId="19B4D0FB" w:rsidR="00C80850" w:rsidRPr="00A25298" w:rsidRDefault="4185721B" w:rsidP="00738E72">
      <w:pPr>
        <w:spacing w:after="200" w:line="240" w:lineRule="auto"/>
        <w:rPr>
          <w:rFonts w:ascii="Cambria" w:eastAsia="Cambria" w:hAnsi="Cambria" w:cstheme="minorHAnsi"/>
          <w:color w:val="000000" w:themeColor="text1"/>
        </w:rPr>
      </w:pPr>
      <w:r w:rsidRPr="00A25298">
        <w:rPr>
          <w:rFonts w:ascii="Cambria" w:eastAsia="Cambria" w:hAnsi="Cambria" w:cstheme="minorHAnsi"/>
          <w:color w:val="000000" w:themeColor="text1"/>
        </w:rPr>
        <w:t>Any other requests for data or material transfers will be considered on a case-by-case basis by the Vice President for Research.</w:t>
      </w:r>
    </w:p>
    <w:p w14:paraId="3A37F86C" w14:textId="539F61EF" w:rsidR="00C80850" w:rsidRPr="00A25298" w:rsidRDefault="4185721B" w:rsidP="00738E72">
      <w:pPr>
        <w:spacing w:after="200" w:line="240" w:lineRule="auto"/>
        <w:rPr>
          <w:rFonts w:ascii="Cambria" w:eastAsia="Cambria" w:hAnsi="Cambria" w:cstheme="minorHAnsi"/>
          <w:color w:val="000000" w:themeColor="text1"/>
        </w:rPr>
      </w:pPr>
      <w:r w:rsidRPr="00A25298">
        <w:rPr>
          <w:rFonts w:ascii="Cambria" w:eastAsia="Cambria" w:hAnsi="Cambria" w:cstheme="minorHAnsi"/>
          <w:color w:val="000000" w:themeColor="text1"/>
        </w:rPr>
        <w:t>Note that the University will retain its ownership rights in Research Data and Materials developed at the University absent a written agreement to the contrary.</w:t>
      </w:r>
    </w:p>
    <w:p w14:paraId="092ECAC2" w14:textId="1BB98BFD" w:rsidR="00C80850" w:rsidRPr="00A25298" w:rsidRDefault="4185721B" w:rsidP="00738E72">
      <w:pPr>
        <w:spacing w:after="200" w:line="240" w:lineRule="auto"/>
        <w:rPr>
          <w:rFonts w:ascii="Cambria" w:eastAsia="Cambria" w:hAnsi="Cambria" w:cstheme="minorHAnsi"/>
          <w:color w:val="000000" w:themeColor="text1"/>
        </w:rPr>
      </w:pPr>
      <w:r w:rsidRPr="00A25298">
        <w:rPr>
          <w:rFonts w:ascii="Cambria" w:eastAsia="Cambria" w:hAnsi="Cambria" w:cstheme="minorHAnsi"/>
          <w:b/>
          <w:bCs/>
          <w:color w:val="000000" w:themeColor="text1"/>
        </w:rPr>
        <w:t>Disputes involving Research Data or Materials</w:t>
      </w:r>
    </w:p>
    <w:p w14:paraId="11B1A69D" w14:textId="5599C3A4" w:rsidR="00C80850" w:rsidRPr="00A25298" w:rsidRDefault="4185721B" w:rsidP="00738E72">
      <w:pPr>
        <w:spacing w:after="200" w:line="240" w:lineRule="auto"/>
        <w:rPr>
          <w:rFonts w:ascii="Cambria" w:eastAsia="Cambria" w:hAnsi="Cambria" w:cstheme="minorHAnsi"/>
          <w:color w:val="000000" w:themeColor="text1"/>
        </w:rPr>
      </w:pPr>
      <w:r w:rsidRPr="00A25298">
        <w:rPr>
          <w:rFonts w:ascii="Cambria" w:eastAsia="Cambria" w:hAnsi="Cambria" w:cstheme="minorHAnsi"/>
          <w:color w:val="000000" w:themeColor="text1"/>
        </w:rPr>
        <w:t>While the PI is responsible for the use and disposition of Research Data and Materials, there may be</w:t>
      </w:r>
      <w:r w:rsidR="3E1F7A83" w:rsidRPr="00A25298">
        <w:rPr>
          <w:rFonts w:ascii="Cambria" w:eastAsia="Cambria" w:hAnsi="Cambria" w:cstheme="minorHAnsi"/>
          <w:color w:val="000000" w:themeColor="text1"/>
        </w:rPr>
        <w:t xml:space="preserve"> occasions</w:t>
      </w:r>
      <w:r w:rsidRPr="00A25298">
        <w:rPr>
          <w:rFonts w:ascii="Cambria" w:eastAsia="Cambria" w:hAnsi="Cambria" w:cstheme="minorHAnsi"/>
          <w:color w:val="000000" w:themeColor="text1"/>
        </w:rPr>
        <w:t xml:space="preserve"> where a dispute arises with respect to such data or materials</w:t>
      </w:r>
      <w:r w:rsidR="00440DE9" w:rsidRPr="00A25298">
        <w:rPr>
          <w:rFonts w:ascii="Cambria" w:eastAsia="Cambria" w:hAnsi="Cambria" w:cstheme="minorHAnsi"/>
          <w:color w:val="000000" w:themeColor="text1"/>
        </w:rPr>
        <w:t xml:space="preserve">. </w:t>
      </w:r>
      <w:r w:rsidRPr="00A25298">
        <w:rPr>
          <w:rFonts w:ascii="Cambria" w:eastAsia="Cambria" w:hAnsi="Cambria" w:cstheme="minorHAnsi"/>
          <w:color w:val="000000" w:themeColor="text1"/>
        </w:rPr>
        <w:t>If there is a concern about access to or use of Research Data or Materials and the PI is unable to resolve this concern to the satisfaction of all parties, this may be referred to the Research Integrity Officer (RIO) for resolution</w:t>
      </w:r>
      <w:r w:rsidR="00A25298" w:rsidRPr="00A25298">
        <w:rPr>
          <w:rFonts w:ascii="Cambria" w:eastAsia="Cambria" w:hAnsi="Cambria" w:cstheme="minorHAnsi"/>
          <w:color w:val="000000" w:themeColor="text1"/>
        </w:rPr>
        <w:t>.</w:t>
      </w:r>
      <w:r w:rsidRPr="00A25298">
        <w:rPr>
          <w:rFonts w:ascii="Cambria" w:eastAsia="Cambria" w:hAnsi="Cambria" w:cstheme="minorHAnsi"/>
          <w:color w:val="000000" w:themeColor="text1"/>
        </w:rPr>
        <w:t xml:space="preserve">  Where the person raising the complaint is a</w:t>
      </w:r>
      <w:r w:rsidR="319B5557" w:rsidRPr="00A25298">
        <w:rPr>
          <w:rFonts w:ascii="Cambria" w:eastAsia="Cambria" w:hAnsi="Cambria" w:cstheme="minorHAnsi"/>
          <w:color w:val="000000" w:themeColor="text1"/>
        </w:rPr>
        <w:t xml:space="preserve"> graduate </w:t>
      </w:r>
      <w:r w:rsidRPr="00A25298">
        <w:rPr>
          <w:rFonts w:ascii="Cambria" w:eastAsia="Cambria" w:hAnsi="Cambria" w:cstheme="minorHAnsi"/>
          <w:color w:val="000000" w:themeColor="text1"/>
        </w:rPr>
        <w:t>student, the dispute may</w:t>
      </w:r>
      <w:r w:rsidR="7F89F96B" w:rsidRPr="00A25298">
        <w:rPr>
          <w:rFonts w:ascii="Cambria" w:eastAsia="Cambria" w:hAnsi="Cambria" w:cstheme="minorHAnsi"/>
          <w:color w:val="000000" w:themeColor="text1"/>
        </w:rPr>
        <w:t xml:space="preserve"> be</w:t>
      </w:r>
      <w:r w:rsidRPr="00A25298">
        <w:rPr>
          <w:rFonts w:ascii="Cambria" w:eastAsia="Cambria" w:hAnsi="Cambria" w:cstheme="minorHAnsi"/>
          <w:color w:val="000000" w:themeColor="text1"/>
        </w:rPr>
        <w:t xml:space="preserve"> raised by the student with the Dean of the Graduate School (the “Dean”). The RIO</w:t>
      </w:r>
      <w:r w:rsidRPr="00A25298">
        <w:rPr>
          <w:rFonts w:ascii="Cambria" w:eastAsia="Cambria" w:hAnsi="Cambria" w:cstheme="minorHAnsi"/>
          <w:u w:val="single"/>
        </w:rPr>
        <w:t>,</w:t>
      </w:r>
      <w:r w:rsidRPr="00A25298">
        <w:rPr>
          <w:rFonts w:ascii="Cambria" w:eastAsia="Cambria" w:hAnsi="Cambria" w:cstheme="minorHAnsi"/>
          <w:color w:val="000000" w:themeColor="text1"/>
        </w:rPr>
        <w:t xml:space="preserve"> in consultation with the Vice Provost for Faculty Affairs (VPFA) and/or the Dean</w:t>
      </w:r>
      <w:r w:rsidR="330191C0" w:rsidRPr="00A25298">
        <w:rPr>
          <w:rFonts w:ascii="Cambria" w:eastAsia="Cambria" w:hAnsi="Cambria" w:cstheme="minorHAnsi"/>
          <w:color w:val="000000" w:themeColor="text1"/>
        </w:rPr>
        <w:t>,</w:t>
      </w:r>
      <w:r w:rsidRPr="00A25298">
        <w:rPr>
          <w:rFonts w:ascii="Cambria" w:eastAsia="Cambria" w:hAnsi="Cambria" w:cstheme="minorHAnsi"/>
          <w:color w:val="000000" w:themeColor="text1"/>
        </w:rPr>
        <w:t xml:space="preserve"> shall </w:t>
      </w:r>
      <w:r w:rsidR="006D6899" w:rsidRPr="00A25298">
        <w:rPr>
          <w:rFonts w:ascii="Cambria" w:eastAsia="Cambria" w:hAnsi="Cambria" w:cstheme="minorHAnsi"/>
          <w:color w:val="000000" w:themeColor="text1"/>
        </w:rPr>
        <w:t>decide</w:t>
      </w:r>
      <w:r w:rsidRPr="00A25298">
        <w:rPr>
          <w:rFonts w:ascii="Cambria" w:eastAsia="Cambria" w:hAnsi="Cambria" w:cstheme="minorHAnsi"/>
          <w:color w:val="000000" w:themeColor="text1"/>
        </w:rPr>
        <w:t xml:space="preserve"> the proper resolution of the dispute</w:t>
      </w:r>
      <w:r w:rsidR="00440DE9" w:rsidRPr="00A25298">
        <w:rPr>
          <w:rFonts w:ascii="Cambria" w:eastAsia="Cambria" w:hAnsi="Cambria" w:cstheme="minorHAnsi"/>
          <w:color w:val="000000" w:themeColor="text1"/>
        </w:rPr>
        <w:t xml:space="preserve">. </w:t>
      </w:r>
      <w:r w:rsidRPr="00A25298">
        <w:rPr>
          <w:rFonts w:ascii="Cambria" w:eastAsia="Cambria" w:hAnsi="Cambria" w:cstheme="minorHAnsi"/>
          <w:color w:val="000000" w:themeColor="text1"/>
        </w:rPr>
        <w:t>If the party that has raised the dispute is unsatisfied with the resolution, an appeal may be made in writing to the Vice President for Research and the Provost who will make a final disposition</w:t>
      </w:r>
      <w:r w:rsidR="00440DE9" w:rsidRPr="00A25298">
        <w:rPr>
          <w:rFonts w:ascii="Cambria" w:eastAsia="Cambria" w:hAnsi="Cambria" w:cstheme="minorHAnsi"/>
          <w:color w:val="000000" w:themeColor="text1"/>
        </w:rPr>
        <w:t xml:space="preserve">. </w:t>
      </w:r>
    </w:p>
    <w:p w14:paraId="4B087C0D" w14:textId="4D21734A" w:rsidR="00C80850" w:rsidRPr="00A25298" w:rsidRDefault="4185721B" w:rsidP="00738E72">
      <w:pPr>
        <w:pStyle w:val="Heading3"/>
        <w:spacing w:after="200" w:line="240" w:lineRule="auto"/>
        <w:jc w:val="both"/>
        <w:rPr>
          <w:rFonts w:ascii="Cambria" w:eastAsia="Cambria" w:hAnsi="Cambria" w:cstheme="minorHAnsi"/>
          <w:b/>
          <w:bCs/>
          <w:color w:val="000000" w:themeColor="text1"/>
          <w:sz w:val="22"/>
          <w:szCs w:val="22"/>
        </w:rPr>
      </w:pPr>
      <w:r w:rsidRPr="00A25298">
        <w:rPr>
          <w:rFonts w:ascii="Cambria" w:eastAsia="Cambria" w:hAnsi="Cambria" w:cstheme="minorHAnsi"/>
          <w:b/>
          <w:bCs/>
          <w:color w:val="000000" w:themeColor="text1"/>
          <w:sz w:val="22"/>
          <w:szCs w:val="22"/>
        </w:rPr>
        <w:lastRenderedPageBreak/>
        <w:t xml:space="preserve">Research Data Associated with Theses and Dissertations </w:t>
      </w:r>
    </w:p>
    <w:p w14:paraId="243E816E" w14:textId="3EBA6CE9" w:rsidR="00C80850" w:rsidRPr="00A25298" w:rsidRDefault="4185721B" w:rsidP="00738E72">
      <w:pPr>
        <w:spacing w:after="200" w:line="240" w:lineRule="auto"/>
        <w:rPr>
          <w:rFonts w:ascii="Cambria" w:eastAsia="Cambria" w:hAnsi="Cambria" w:cstheme="minorHAnsi"/>
          <w:color w:val="000000" w:themeColor="text1"/>
        </w:rPr>
      </w:pPr>
      <w:r w:rsidRPr="00A25298">
        <w:rPr>
          <w:rFonts w:ascii="Cambria" w:eastAsia="Cambria" w:hAnsi="Cambria" w:cstheme="minorHAnsi"/>
          <w:color w:val="000000" w:themeColor="text1"/>
        </w:rPr>
        <w:t xml:space="preserve">To preserve the complete scholarly record of the author, a student depositing their thesis or dissertation is encouraged to make available their associated data sets and metadata in accordance with the </w:t>
      </w:r>
      <w:hyperlink r:id="rId11">
        <w:r w:rsidRPr="00A25298">
          <w:rPr>
            <w:rStyle w:val="Hyperlink"/>
            <w:rFonts w:ascii="Cambria" w:eastAsia="Cambria" w:hAnsi="Cambria" w:cstheme="minorHAnsi"/>
          </w:rPr>
          <w:t>policies and procedures for theses and dissertations</w:t>
        </w:r>
      </w:hyperlink>
      <w:r w:rsidRPr="00A25298">
        <w:rPr>
          <w:rFonts w:ascii="Cambria" w:eastAsia="Cambria" w:hAnsi="Cambria" w:cstheme="minorHAnsi"/>
          <w:color w:val="000000" w:themeColor="text1"/>
        </w:rPr>
        <w:t xml:space="preserve"> in the University’s </w:t>
      </w:r>
      <w:hyperlink r:id="rId12">
        <w:r w:rsidRPr="00A25298">
          <w:rPr>
            <w:rStyle w:val="Hyperlink"/>
            <w:rFonts w:ascii="Cambria" w:eastAsia="Cambria" w:hAnsi="Cambria" w:cstheme="minorHAnsi"/>
            <w:i/>
            <w:iCs/>
          </w:rPr>
          <w:t xml:space="preserve">Mountain Scholar </w:t>
        </w:r>
        <w:r w:rsidRPr="00A25298">
          <w:rPr>
            <w:rStyle w:val="Hyperlink"/>
            <w:rFonts w:ascii="Cambria" w:eastAsia="Cambria" w:hAnsi="Cambria" w:cstheme="minorHAnsi"/>
          </w:rPr>
          <w:t>digital repository</w:t>
        </w:r>
      </w:hyperlink>
      <w:r w:rsidRPr="00A25298">
        <w:rPr>
          <w:rFonts w:ascii="Cambria" w:eastAsia="Cambria" w:hAnsi="Cambria" w:cstheme="minorHAnsi"/>
          <w:color w:val="000000" w:themeColor="text1"/>
        </w:rPr>
        <w:t xml:space="preserve"> (a database designed to store, index, distribute, and preserve the scholarship of </w:t>
      </w:r>
      <w:r w:rsidR="598A8A77" w:rsidRPr="00A25298">
        <w:rPr>
          <w:rFonts w:ascii="Cambria" w:eastAsia="Cambria" w:hAnsi="Cambria" w:cstheme="minorHAnsi"/>
          <w:color w:val="000000" w:themeColor="text1"/>
        </w:rPr>
        <w:t>Research Staff and Students</w:t>
      </w:r>
      <w:r w:rsidRPr="00A25298">
        <w:rPr>
          <w:rFonts w:ascii="Cambria" w:eastAsia="Cambria" w:hAnsi="Cambria" w:cstheme="minorHAnsi"/>
          <w:color w:val="000000" w:themeColor="text1"/>
        </w:rPr>
        <w:t xml:space="preserve"> of the University in digital form). Access and rights management (embargo period, access limited to specific IP addresses) shall be the same for the associated data sets as it is for the thesis or the dissertation.</w:t>
      </w:r>
    </w:p>
    <w:p w14:paraId="0B8EA2F9" w14:textId="5B7FFB80" w:rsidR="00C80850" w:rsidRPr="00A25298" w:rsidRDefault="4185721B" w:rsidP="00738E72">
      <w:pPr>
        <w:pStyle w:val="Heading3"/>
        <w:spacing w:after="200" w:line="240" w:lineRule="auto"/>
        <w:jc w:val="both"/>
        <w:rPr>
          <w:rFonts w:ascii="Cambria" w:eastAsia="Cambria" w:hAnsi="Cambria" w:cstheme="minorHAnsi"/>
          <w:b/>
          <w:bCs/>
          <w:color w:val="000000" w:themeColor="text1"/>
          <w:sz w:val="22"/>
          <w:szCs w:val="22"/>
        </w:rPr>
      </w:pPr>
      <w:r w:rsidRPr="00A25298">
        <w:rPr>
          <w:rFonts w:ascii="Cambria" w:eastAsia="Cambria" w:hAnsi="Cambria" w:cstheme="minorHAnsi"/>
          <w:b/>
          <w:bCs/>
          <w:color w:val="000000" w:themeColor="text1"/>
          <w:sz w:val="22"/>
          <w:szCs w:val="22"/>
        </w:rPr>
        <w:t>Export Controlled Data</w:t>
      </w:r>
    </w:p>
    <w:p w14:paraId="5ACD7D6E" w14:textId="0387AA27" w:rsidR="00C80850" w:rsidRPr="00A25298" w:rsidRDefault="4185721B" w:rsidP="00738E72">
      <w:pPr>
        <w:spacing w:after="200" w:line="240" w:lineRule="auto"/>
        <w:rPr>
          <w:rFonts w:ascii="Cambria" w:eastAsia="Cambria" w:hAnsi="Cambria" w:cstheme="minorHAnsi"/>
          <w:color w:val="000000" w:themeColor="text1"/>
        </w:rPr>
      </w:pPr>
      <w:r w:rsidRPr="00A25298">
        <w:rPr>
          <w:rFonts w:ascii="Cambria" w:eastAsia="Cambria" w:hAnsi="Cambria" w:cstheme="minorHAnsi"/>
          <w:color w:val="000000" w:themeColor="text1"/>
        </w:rPr>
        <w:t xml:space="preserve">Before sharing Research Data or Materials or making it accessible to a foreign national, whether in the United States or abroad, it is critical for researchers and scholars to familiarize themselves with the </w:t>
      </w:r>
      <w:hyperlink r:id="rId13">
        <w:r w:rsidRPr="00A25298">
          <w:rPr>
            <w:rStyle w:val="Hyperlink"/>
            <w:rFonts w:ascii="Cambria" w:eastAsia="Cambria" w:hAnsi="Cambria" w:cstheme="minorHAnsi"/>
          </w:rPr>
          <w:t>CSU Policy on Export Control</w:t>
        </w:r>
      </w:hyperlink>
      <w:r w:rsidRPr="00A25298">
        <w:rPr>
          <w:rFonts w:ascii="Cambria" w:eastAsia="Cambria" w:hAnsi="Cambria" w:cstheme="minorHAnsi"/>
          <w:color w:val="000000" w:themeColor="text1"/>
        </w:rPr>
        <w:t xml:space="preserve"> and request assistance with reaching a determination as to the applicability of export control regulations. Contact the OVPR for assistance</w:t>
      </w:r>
      <w:r w:rsidRPr="00A25298">
        <w:rPr>
          <w:rFonts w:ascii="Cambria" w:eastAsia="Cambria" w:hAnsi="Cambria" w:cstheme="minorHAnsi"/>
          <w:color w:val="000000" w:themeColor="text1"/>
          <w:u w:val="single"/>
        </w:rPr>
        <w:t>.</w:t>
      </w:r>
    </w:p>
    <w:p w14:paraId="374645B1" w14:textId="23009E98" w:rsidR="1AA55F24" w:rsidRPr="00A25298" w:rsidRDefault="1AA55F24" w:rsidP="1AA55F24">
      <w:pPr>
        <w:spacing w:after="200" w:line="240" w:lineRule="auto"/>
        <w:rPr>
          <w:rFonts w:ascii="Cambria" w:eastAsia="Cambria" w:hAnsi="Cambria" w:cstheme="minorHAnsi"/>
          <w:b/>
          <w:bCs/>
        </w:rPr>
      </w:pPr>
      <w:r w:rsidRPr="00A25298">
        <w:rPr>
          <w:rFonts w:ascii="Cambria" w:eastAsia="Cambria" w:hAnsi="Cambria" w:cstheme="minorHAnsi"/>
          <w:b/>
          <w:bCs/>
        </w:rPr>
        <w:t>Protected and/or controlled unclassified and classified data</w:t>
      </w:r>
    </w:p>
    <w:p w14:paraId="42E3C1E8" w14:textId="18D0AE18" w:rsidR="00C80850" w:rsidRPr="00A25298" w:rsidRDefault="4185721B" w:rsidP="00738E72">
      <w:pPr>
        <w:pStyle w:val="Heading3"/>
        <w:spacing w:after="200" w:line="240" w:lineRule="auto"/>
        <w:jc w:val="both"/>
        <w:rPr>
          <w:rFonts w:ascii="Cambria" w:eastAsia="Cambria" w:hAnsi="Cambria" w:cstheme="minorHAnsi"/>
          <w:b/>
          <w:bCs/>
          <w:color w:val="000000" w:themeColor="text1"/>
          <w:sz w:val="22"/>
          <w:szCs w:val="22"/>
        </w:rPr>
      </w:pPr>
      <w:r w:rsidRPr="00A25298">
        <w:rPr>
          <w:rFonts w:ascii="Cambria" w:eastAsia="Cambria" w:hAnsi="Cambria" w:cstheme="minorHAnsi"/>
          <w:b/>
          <w:bCs/>
          <w:color w:val="000000" w:themeColor="text1"/>
          <w:sz w:val="22"/>
          <w:szCs w:val="22"/>
        </w:rPr>
        <w:t> Data Related to Patent Filings</w:t>
      </w:r>
    </w:p>
    <w:p w14:paraId="677405F1" w14:textId="448A37F8" w:rsidR="00C80850" w:rsidRPr="00A25298" w:rsidRDefault="4185721B" w:rsidP="00738E72">
      <w:pPr>
        <w:spacing w:after="200" w:line="240" w:lineRule="auto"/>
        <w:rPr>
          <w:rFonts w:ascii="Cambria" w:eastAsia="Cambria" w:hAnsi="Cambria" w:cstheme="minorHAnsi"/>
          <w:color w:val="000000" w:themeColor="text1"/>
        </w:rPr>
      </w:pPr>
      <w:r w:rsidRPr="00A25298">
        <w:rPr>
          <w:rFonts w:ascii="Cambria" w:eastAsia="Cambria" w:hAnsi="Cambria" w:cstheme="minorHAnsi"/>
          <w:color w:val="000000" w:themeColor="text1"/>
        </w:rPr>
        <w:t>Where working data sets or raw data sets support a patent application/filing, they may need to be preserved. This should be determined by the Colorado State Research Foundation during the disclosure and patenting process.</w:t>
      </w:r>
    </w:p>
    <w:p w14:paraId="0660196E" w14:textId="1C41C337" w:rsidR="53FE54C7" w:rsidRPr="00A25298" w:rsidRDefault="53FE54C7">
      <w:pPr>
        <w:rPr>
          <w:rFonts w:ascii="Cambria" w:hAnsi="Cambria" w:cstheme="minorHAnsi"/>
        </w:rPr>
      </w:pPr>
      <w:r w:rsidRPr="00A25298">
        <w:rPr>
          <w:rFonts w:ascii="Cambria" w:eastAsia="Calibri" w:hAnsi="Cambria" w:cstheme="minorHAnsi"/>
          <w:b/>
          <w:bCs/>
        </w:rPr>
        <w:t>Sensitive, Restricted and/or Private Data</w:t>
      </w:r>
    </w:p>
    <w:p w14:paraId="41F51423" w14:textId="664E1E9B" w:rsidR="53FE54C7" w:rsidRPr="00A25298" w:rsidRDefault="53FE54C7">
      <w:pPr>
        <w:rPr>
          <w:rFonts w:ascii="Cambria" w:eastAsia="Calibri" w:hAnsi="Cambria" w:cstheme="minorHAnsi"/>
        </w:rPr>
      </w:pPr>
      <w:r w:rsidRPr="00A25298">
        <w:rPr>
          <w:rFonts w:ascii="Cambria" w:eastAsia="Calibri" w:hAnsi="Cambria" w:cstheme="minorHAnsi"/>
        </w:rPr>
        <w:t xml:space="preserve">Data used in Research may require certain protections under federal, state, tribal and/or university regulations, including Controlled Unclassified Information, information covered by Nondisclosure Agreement, or other types of protected data such as Personally Identifiable Information or Personal Health Information. It is important for researchers and scholars to consult with their college or department IT Department, the Division of IT, and OVPR to ensure that appropriate safeguards are in place to protect such data </w:t>
      </w:r>
      <w:r w:rsidR="00AD26A2" w:rsidRPr="00A25298">
        <w:rPr>
          <w:rFonts w:ascii="Cambria" w:eastAsia="Calibri" w:hAnsi="Cambria" w:cstheme="minorHAnsi"/>
        </w:rPr>
        <w:t>during</w:t>
      </w:r>
      <w:r w:rsidRPr="00A25298">
        <w:rPr>
          <w:rFonts w:ascii="Cambria" w:eastAsia="Calibri" w:hAnsi="Cambria" w:cstheme="minorHAnsi"/>
        </w:rPr>
        <w:t xml:space="preserve"> research and for data sharing and archiving purposes.</w:t>
      </w:r>
    </w:p>
    <w:p w14:paraId="6221B328" w14:textId="77777777" w:rsidR="0035068F" w:rsidRPr="00A25298" w:rsidRDefault="000D00C2" w:rsidP="6CE80C27">
      <w:pPr>
        <w:pStyle w:val="Heading2"/>
        <w:tabs>
          <w:tab w:val="left" w:pos="4830"/>
        </w:tabs>
        <w:spacing w:before="200" w:after="200" w:line="240" w:lineRule="auto"/>
        <w:jc w:val="center"/>
        <w:rPr>
          <w:rFonts w:ascii="Cambria" w:hAnsi="Cambria" w:cstheme="minorHAnsi"/>
          <w:b/>
          <w:bCs/>
          <w:sz w:val="28"/>
          <w:szCs w:val="28"/>
        </w:rPr>
      </w:pPr>
      <w:r w:rsidRPr="00A25298">
        <w:rPr>
          <w:rFonts w:ascii="Cambria" w:hAnsi="Cambria" w:cstheme="minorHAnsi"/>
          <w:b/>
          <w:bCs/>
          <w:sz w:val="28"/>
          <w:szCs w:val="28"/>
        </w:rPr>
        <w:t>Because research data is a rapidly evolving area, all university stakeholders are invited to submit updated information for this document</w:t>
      </w:r>
      <w:r w:rsidR="00FB1C1A" w:rsidRPr="00A25298">
        <w:rPr>
          <w:rFonts w:ascii="Cambria" w:hAnsi="Cambria" w:cstheme="minorHAnsi"/>
          <w:b/>
          <w:bCs/>
          <w:sz w:val="28"/>
          <w:szCs w:val="28"/>
        </w:rPr>
        <w:t xml:space="preserve"> to </w:t>
      </w:r>
      <w:r w:rsidR="00B962C3" w:rsidRPr="00A25298">
        <w:rPr>
          <w:rFonts w:ascii="Cambria" w:hAnsi="Cambria" w:cstheme="minorHAnsi"/>
          <w:b/>
          <w:bCs/>
          <w:sz w:val="28"/>
          <w:szCs w:val="28"/>
        </w:rPr>
        <w:t xml:space="preserve">the office of the Vice President for </w:t>
      </w:r>
      <w:r w:rsidR="008A640B" w:rsidRPr="00A25298">
        <w:rPr>
          <w:rFonts w:ascii="Cambria" w:hAnsi="Cambria" w:cstheme="minorHAnsi"/>
          <w:b/>
          <w:bCs/>
          <w:sz w:val="28"/>
          <w:szCs w:val="28"/>
        </w:rPr>
        <w:t>Research.</w:t>
      </w:r>
    </w:p>
    <w:p w14:paraId="59630C4E" w14:textId="530E2EAE" w:rsidR="00C80850" w:rsidRPr="00F6336D" w:rsidRDefault="67A0E121" w:rsidP="6CE80C27">
      <w:pPr>
        <w:pStyle w:val="Heading2"/>
        <w:tabs>
          <w:tab w:val="left" w:pos="4830"/>
        </w:tabs>
        <w:spacing w:before="200" w:after="200" w:line="240" w:lineRule="auto"/>
        <w:jc w:val="center"/>
        <w:rPr>
          <w:rFonts w:ascii="Cambria" w:eastAsia="Cambria" w:hAnsi="Cambria" w:cstheme="minorHAnsi"/>
          <w:b/>
          <w:bCs/>
          <w:color w:val="006600"/>
          <w:sz w:val="24"/>
          <w:szCs w:val="24"/>
        </w:rPr>
      </w:pPr>
      <w:r w:rsidRPr="00F6336D">
        <w:rPr>
          <w:rFonts w:ascii="Cambria" w:eastAsia="Cambria" w:hAnsi="Cambria" w:cstheme="minorHAnsi"/>
          <w:b/>
          <w:bCs/>
          <w:color w:val="006600"/>
          <w:sz w:val="24"/>
          <w:szCs w:val="24"/>
        </w:rPr>
        <w:t>REFERENCES</w:t>
      </w:r>
    </w:p>
    <w:p w14:paraId="5B26AD77" w14:textId="52FB7D82" w:rsidR="00C80850" w:rsidRPr="00A25298" w:rsidRDefault="00000000" w:rsidP="6CE80C27">
      <w:pPr>
        <w:spacing w:after="200" w:line="240" w:lineRule="auto"/>
        <w:rPr>
          <w:rFonts w:ascii="Cambria" w:eastAsia="Cambria" w:hAnsi="Cambria" w:cstheme="minorHAnsi"/>
          <w:color w:val="000000" w:themeColor="text1"/>
        </w:rPr>
      </w:pPr>
      <w:hyperlink r:id="rId14">
        <w:r w:rsidR="67A0E121" w:rsidRPr="00A25298">
          <w:rPr>
            <w:rStyle w:val="Hyperlink"/>
            <w:rFonts w:ascii="Cambria" w:eastAsia="Cambria" w:hAnsi="Cambria" w:cstheme="minorHAnsi"/>
          </w:rPr>
          <w:t>University Libraries, Data Management Resource Page</w:t>
        </w:r>
      </w:hyperlink>
    </w:p>
    <w:p w14:paraId="233219E6" w14:textId="5212686A" w:rsidR="00C80850" w:rsidRPr="00A25298" w:rsidRDefault="00000000" w:rsidP="6CE80C27">
      <w:pPr>
        <w:spacing w:after="200" w:line="240" w:lineRule="auto"/>
        <w:rPr>
          <w:rFonts w:ascii="Cambria" w:eastAsia="Cambria" w:hAnsi="Cambria" w:cstheme="minorHAnsi"/>
          <w:color w:val="000000" w:themeColor="text1"/>
        </w:rPr>
      </w:pPr>
      <w:hyperlink r:id="rId15">
        <w:r w:rsidR="67A0E121" w:rsidRPr="00A25298">
          <w:rPr>
            <w:rStyle w:val="Hyperlink"/>
            <w:rFonts w:ascii="Cambria" w:eastAsia="Cambria" w:hAnsi="Cambria" w:cstheme="minorHAnsi"/>
          </w:rPr>
          <w:t>Mountain Scholar Digital Repository</w:t>
        </w:r>
      </w:hyperlink>
    </w:p>
    <w:p w14:paraId="39DEE839" w14:textId="723ED159" w:rsidR="00C80850" w:rsidRPr="00A25298" w:rsidRDefault="00000000" w:rsidP="6CE80C27">
      <w:pPr>
        <w:spacing w:after="200" w:line="240" w:lineRule="auto"/>
        <w:rPr>
          <w:rFonts w:ascii="Cambria" w:eastAsia="Cambria" w:hAnsi="Cambria" w:cstheme="minorHAnsi"/>
          <w:color w:val="0000FF"/>
        </w:rPr>
      </w:pPr>
      <w:hyperlink r:id="rId16">
        <w:r w:rsidR="67A0E121" w:rsidRPr="00A25298">
          <w:rPr>
            <w:rStyle w:val="Hyperlink"/>
            <w:rFonts w:ascii="Cambria" w:eastAsia="Cambria" w:hAnsi="Cambria" w:cstheme="minorHAnsi"/>
          </w:rPr>
          <w:t>CSU Policy: Information Technology Security</w:t>
        </w:r>
      </w:hyperlink>
    </w:p>
    <w:p w14:paraId="06FF7FB4" w14:textId="5A922C36" w:rsidR="00C80850" w:rsidRPr="00A25298" w:rsidRDefault="00000000" w:rsidP="6CE80C27">
      <w:pPr>
        <w:spacing w:after="200" w:line="240" w:lineRule="auto"/>
        <w:rPr>
          <w:rFonts w:ascii="Cambria" w:eastAsia="Cambria" w:hAnsi="Cambria" w:cstheme="minorHAnsi"/>
          <w:color w:val="0000FF"/>
        </w:rPr>
      </w:pPr>
      <w:hyperlink r:id="rId17">
        <w:r w:rsidR="67A0E121" w:rsidRPr="00A25298">
          <w:rPr>
            <w:rStyle w:val="Hyperlink"/>
            <w:rFonts w:ascii="Cambria" w:eastAsia="Cambria" w:hAnsi="Cambria" w:cstheme="minorHAnsi"/>
          </w:rPr>
          <w:t>CSU Policy: Information Collection and Personal Records Privacy</w:t>
        </w:r>
      </w:hyperlink>
    </w:p>
    <w:p w14:paraId="2C1B41CA" w14:textId="6AA184FF" w:rsidR="00C80850" w:rsidRPr="00A25298" w:rsidRDefault="00000000" w:rsidP="6CE80C27">
      <w:pPr>
        <w:spacing w:after="200" w:line="240" w:lineRule="auto"/>
        <w:rPr>
          <w:rFonts w:ascii="Cambria" w:eastAsia="Cambria" w:hAnsi="Cambria" w:cstheme="minorHAnsi"/>
          <w:color w:val="0000FF"/>
        </w:rPr>
      </w:pPr>
      <w:hyperlink r:id="rId18">
        <w:r w:rsidR="67A0E121" w:rsidRPr="00A25298">
          <w:rPr>
            <w:rStyle w:val="Hyperlink"/>
            <w:rFonts w:ascii="Cambria" w:eastAsia="Cambria" w:hAnsi="Cambria" w:cstheme="minorHAnsi"/>
          </w:rPr>
          <w:t>CSU Policy: Central Administrative Data Governance</w:t>
        </w:r>
      </w:hyperlink>
    </w:p>
    <w:p w14:paraId="2A813EDF" w14:textId="6B30889E" w:rsidR="00C80850" w:rsidRPr="00A25298" w:rsidRDefault="00000000" w:rsidP="6CE80C27">
      <w:pPr>
        <w:spacing w:after="200" w:line="240" w:lineRule="auto"/>
        <w:rPr>
          <w:rFonts w:ascii="Cambria" w:eastAsia="Cambria" w:hAnsi="Cambria" w:cstheme="minorHAnsi"/>
          <w:color w:val="0000FF"/>
        </w:rPr>
      </w:pPr>
      <w:hyperlink r:id="rId19">
        <w:r w:rsidR="67A0E121" w:rsidRPr="00A25298">
          <w:rPr>
            <w:rStyle w:val="Hyperlink"/>
            <w:rFonts w:ascii="Cambria" w:eastAsia="Cambria" w:hAnsi="Cambria" w:cstheme="minorHAnsi"/>
          </w:rPr>
          <w:t>CSU Policy</w:t>
        </w:r>
        <w:r w:rsidR="00BC7AD7" w:rsidRPr="00A25298">
          <w:rPr>
            <w:rStyle w:val="Hyperlink"/>
            <w:rFonts w:ascii="Cambria" w:eastAsia="Cambria" w:hAnsi="Cambria" w:cstheme="minorHAnsi"/>
          </w:rPr>
          <w:t xml:space="preserve">: </w:t>
        </w:r>
        <w:r w:rsidR="67A0E121" w:rsidRPr="00A25298">
          <w:rPr>
            <w:rStyle w:val="Hyperlink"/>
            <w:rFonts w:ascii="Cambria" w:eastAsia="Cambria" w:hAnsi="Cambria" w:cstheme="minorHAnsi"/>
          </w:rPr>
          <w:t>Export Control</w:t>
        </w:r>
      </w:hyperlink>
    </w:p>
    <w:p w14:paraId="2EA066F2" w14:textId="424CDBF2" w:rsidR="67A0E121" w:rsidRPr="00A25298" w:rsidRDefault="67A0E121" w:rsidP="19F7A0C4">
      <w:pPr>
        <w:spacing w:after="200" w:line="240" w:lineRule="auto"/>
        <w:rPr>
          <w:rFonts w:ascii="Cambria" w:eastAsia="Cambria" w:hAnsi="Cambria" w:cstheme="minorHAnsi"/>
          <w:color w:val="000000" w:themeColor="text1"/>
        </w:rPr>
      </w:pPr>
      <w:r w:rsidRPr="00A25298">
        <w:rPr>
          <w:rFonts w:ascii="Cambria" w:eastAsia="Cambria" w:hAnsi="Cambria" w:cstheme="minorHAnsi"/>
          <w:color w:val="000000" w:themeColor="text1"/>
        </w:rPr>
        <w:lastRenderedPageBreak/>
        <w:t xml:space="preserve">Federal Regulations and Policies: </w:t>
      </w:r>
      <w:r w:rsidRPr="00A25298">
        <w:rPr>
          <w:rFonts w:ascii="Cambria" w:hAnsi="Cambria" w:cstheme="minorHAnsi"/>
        </w:rPr>
        <w:br/>
      </w:r>
      <w:r w:rsidR="27388FF0" w:rsidRPr="00A25298">
        <w:rPr>
          <w:rFonts w:ascii="Cambria" w:eastAsia="Cambria" w:hAnsi="Cambria" w:cstheme="minorHAnsi"/>
          <w:color w:val="000000" w:themeColor="text1"/>
        </w:rPr>
        <w:t xml:space="preserve">Researchers should confirm sponsor/agency specific guidance and regulations. </w:t>
      </w:r>
    </w:p>
    <w:p w14:paraId="012EF71A" w14:textId="17F9C830" w:rsidR="27388FF0" w:rsidRPr="00A25298" w:rsidRDefault="00000000" w:rsidP="19F7A0C4">
      <w:pPr>
        <w:spacing w:after="200" w:line="240" w:lineRule="auto"/>
        <w:rPr>
          <w:rFonts w:ascii="Cambria" w:eastAsia="Cambria" w:hAnsi="Cambria" w:cstheme="minorHAnsi"/>
        </w:rPr>
      </w:pPr>
      <w:hyperlink r:id="rId20">
        <w:r w:rsidR="27388FF0" w:rsidRPr="00A25298">
          <w:rPr>
            <w:rStyle w:val="Hyperlink"/>
            <w:rFonts w:ascii="Cambria" w:eastAsia="Cambria" w:hAnsi="Cambria" w:cstheme="minorHAnsi"/>
          </w:rPr>
          <w:t>SPARC list of Research Funder Data Sharing Policies</w:t>
        </w:r>
      </w:hyperlink>
    </w:p>
    <w:p w14:paraId="0DB691AB" w14:textId="5F3497BC" w:rsidR="27388FF0" w:rsidRPr="00A25298" w:rsidRDefault="00000000" w:rsidP="19F7A0C4">
      <w:pPr>
        <w:spacing w:after="200" w:line="240" w:lineRule="auto"/>
        <w:rPr>
          <w:rFonts w:ascii="Cambria" w:eastAsia="Cambria" w:hAnsi="Cambria" w:cstheme="minorHAnsi"/>
        </w:rPr>
      </w:pPr>
      <w:hyperlink r:id="rId21">
        <w:r w:rsidR="27388FF0" w:rsidRPr="00A25298">
          <w:rPr>
            <w:rStyle w:val="Hyperlink"/>
            <w:rFonts w:ascii="Cambria" w:eastAsia="Cambria" w:hAnsi="Cambria" w:cstheme="minorHAnsi"/>
          </w:rPr>
          <w:t>NSF Data Management Plan Requirements</w:t>
        </w:r>
      </w:hyperlink>
    </w:p>
    <w:p w14:paraId="2AD64D94" w14:textId="45EA1710" w:rsidR="27388FF0" w:rsidRPr="00A25298" w:rsidRDefault="00000000" w:rsidP="19F7A0C4">
      <w:pPr>
        <w:spacing w:after="200" w:line="240" w:lineRule="auto"/>
        <w:rPr>
          <w:rFonts w:ascii="Cambria" w:eastAsia="Cambria" w:hAnsi="Cambria" w:cstheme="minorHAnsi"/>
        </w:rPr>
      </w:pPr>
      <w:hyperlink r:id="rId22">
        <w:r w:rsidR="27388FF0" w:rsidRPr="00A25298">
          <w:rPr>
            <w:rStyle w:val="Hyperlink"/>
            <w:rFonts w:ascii="Cambria" w:eastAsia="Cambria" w:hAnsi="Cambria" w:cstheme="minorHAnsi"/>
          </w:rPr>
          <w:t>NIH Data Sharing Policy</w:t>
        </w:r>
      </w:hyperlink>
      <w:r w:rsidR="27388FF0" w:rsidRPr="00A25298">
        <w:rPr>
          <w:rFonts w:ascii="Cambria" w:eastAsia="Cambria" w:hAnsi="Cambria" w:cstheme="minorHAnsi"/>
          <w:color w:val="000000" w:themeColor="text1"/>
        </w:rPr>
        <w:t xml:space="preserve"> </w:t>
      </w:r>
    </w:p>
    <w:p w14:paraId="0199F9F5" w14:textId="375EF1CE" w:rsidR="00C80850" w:rsidRPr="00A25298" w:rsidRDefault="67A0E121" w:rsidP="6CE80C27">
      <w:pPr>
        <w:spacing w:after="200" w:line="240" w:lineRule="auto"/>
        <w:rPr>
          <w:rFonts w:ascii="Cambria" w:eastAsia="Cambria" w:hAnsi="Cambria" w:cstheme="minorHAnsi"/>
          <w:color w:val="000000" w:themeColor="text1"/>
        </w:rPr>
      </w:pPr>
      <w:r w:rsidRPr="00A25298">
        <w:rPr>
          <w:rFonts w:ascii="Cambria" w:eastAsia="Cambria" w:hAnsi="Cambria" w:cstheme="minorHAnsi"/>
          <w:color w:val="000000" w:themeColor="text1"/>
        </w:rPr>
        <w:t xml:space="preserve">2 CFR 200.315; 45 CFR 75.322: Rights in intangible property acquired under federal awards belong to the institution as the grantee. </w:t>
      </w:r>
    </w:p>
    <w:p w14:paraId="3400A9AE" w14:textId="25027436" w:rsidR="00C80850" w:rsidRPr="00A25298" w:rsidRDefault="67A0E121" w:rsidP="6CE80C27">
      <w:pPr>
        <w:spacing w:after="200" w:line="240" w:lineRule="auto"/>
        <w:rPr>
          <w:rFonts w:ascii="Cambria" w:eastAsia="Cambria" w:hAnsi="Cambria" w:cstheme="minorHAnsi"/>
          <w:color w:val="000000" w:themeColor="text1"/>
        </w:rPr>
      </w:pPr>
      <w:r w:rsidRPr="00A25298">
        <w:rPr>
          <w:rFonts w:ascii="Cambria" w:eastAsia="Cambria" w:hAnsi="Cambria" w:cstheme="minorHAnsi"/>
          <w:color w:val="000000" w:themeColor="text1"/>
        </w:rPr>
        <w:t>NIH Grants Policy Statement §8.2.1: “In general, [grant] recipients own the rights in data resulting from a</w:t>
      </w:r>
      <w:r w:rsidR="584F4C73" w:rsidRPr="00A25298">
        <w:rPr>
          <w:rFonts w:ascii="Cambria" w:eastAsia="Cambria" w:hAnsi="Cambria" w:cstheme="minorHAnsi"/>
          <w:color w:val="000000" w:themeColor="text1"/>
        </w:rPr>
        <w:t xml:space="preserve"> grant supported </w:t>
      </w:r>
      <w:r w:rsidRPr="00A25298">
        <w:rPr>
          <w:rFonts w:ascii="Cambria" w:eastAsia="Cambria" w:hAnsi="Cambria" w:cstheme="minorHAnsi"/>
          <w:color w:val="000000" w:themeColor="text1"/>
        </w:rPr>
        <w:t>project.”</w:t>
      </w:r>
    </w:p>
    <w:p w14:paraId="2C078E63" w14:textId="18CA8EAE" w:rsidR="00C80850" w:rsidRPr="00A25298" w:rsidRDefault="00C80850" w:rsidP="772CFB4C">
      <w:pPr>
        <w:rPr>
          <w:rFonts w:ascii="Cambria" w:hAnsi="Cambria" w:cstheme="minorHAnsi"/>
        </w:rPr>
      </w:pPr>
    </w:p>
    <w:sectPr w:rsidR="00C80850" w:rsidRPr="00A25298">
      <w:headerReference w:type="even" r:id="rId23"/>
      <w:headerReference w:type="default" r:id="rId24"/>
      <w:footerReference w:type="even" r:id="rId25"/>
      <w:footerReference w:type="default" r:id="rId26"/>
      <w:headerReference w:type="first" r:id="rId27"/>
      <w:footerReference w:type="firs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8B613" w14:textId="77777777" w:rsidR="009240C3" w:rsidRDefault="009240C3" w:rsidP="0021128C">
      <w:pPr>
        <w:spacing w:after="0" w:line="240" w:lineRule="auto"/>
      </w:pPr>
      <w:r>
        <w:separator/>
      </w:r>
    </w:p>
  </w:endnote>
  <w:endnote w:type="continuationSeparator" w:id="0">
    <w:p w14:paraId="16F5D893" w14:textId="77777777" w:rsidR="009240C3" w:rsidRDefault="009240C3" w:rsidP="0021128C">
      <w:pPr>
        <w:spacing w:after="0" w:line="240" w:lineRule="auto"/>
      </w:pPr>
      <w:r>
        <w:continuationSeparator/>
      </w:r>
    </w:p>
  </w:endnote>
  <w:endnote w:type="continuationNotice" w:id="1">
    <w:p w14:paraId="4CC46079" w14:textId="77777777" w:rsidR="009240C3" w:rsidRDefault="009240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10363" w14:textId="77777777" w:rsidR="0021128C" w:rsidRDefault="002112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653CA" w14:textId="77777777" w:rsidR="0021128C" w:rsidRDefault="002112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29C42" w14:textId="77777777" w:rsidR="0021128C" w:rsidRDefault="002112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95B27" w14:textId="77777777" w:rsidR="009240C3" w:rsidRDefault="009240C3" w:rsidP="0021128C">
      <w:pPr>
        <w:spacing w:after="0" w:line="240" w:lineRule="auto"/>
      </w:pPr>
      <w:r>
        <w:separator/>
      </w:r>
    </w:p>
  </w:footnote>
  <w:footnote w:type="continuationSeparator" w:id="0">
    <w:p w14:paraId="45D5DD14" w14:textId="77777777" w:rsidR="009240C3" w:rsidRDefault="009240C3" w:rsidP="0021128C">
      <w:pPr>
        <w:spacing w:after="0" w:line="240" w:lineRule="auto"/>
      </w:pPr>
      <w:r>
        <w:continuationSeparator/>
      </w:r>
    </w:p>
  </w:footnote>
  <w:footnote w:type="continuationNotice" w:id="1">
    <w:p w14:paraId="68527E00" w14:textId="77777777" w:rsidR="009240C3" w:rsidRDefault="009240C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74D31" w14:textId="77777777" w:rsidR="0021128C" w:rsidRDefault="002112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1C438" w14:textId="742CAC6B" w:rsidR="0021128C" w:rsidRDefault="002112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1FA15" w14:textId="77777777" w:rsidR="0021128C" w:rsidRDefault="002112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C2E7C"/>
    <w:multiLevelType w:val="hybridMultilevel"/>
    <w:tmpl w:val="23700C26"/>
    <w:lvl w:ilvl="0" w:tplc="4BFED448">
      <w:start w:val="1"/>
      <w:numFmt w:val="decimal"/>
      <w:lvlText w:val="%1."/>
      <w:lvlJc w:val="left"/>
      <w:pPr>
        <w:ind w:left="720" w:hanging="360"/>
      </w:pPr>
    </w:lvl>
    <w:lvl w:ilvl="1" w:tplc="8EEC985C">
      <w:start w:val="1"/>
      <w:numFmt w:val="lowerLetter"/>
      <w:lvlText w:val="%2."/>
      <w:lvlJc w:val="left"/>
      <w:pPr>
        <w:ind w:left="1440" w:hanging="360"/>
      </w:pPr>
    </w:lvl>
    <w:lvl w:ilvl="2" w:tplc="AF3E87C4">
      <w:start w:val="1"/>
      <w:numFmt w:val="lowerRoman"/>
      <w:lvlText w:val="%3."/>
      <w:lvlJc w:val="right"/>
      <w:pPr>
        <w:ind w:left="2160" w:hanging="180"/>
      </w:pPr>
    </w:lvl>
    <w:lvl w:ilvl="3" w:tplc="D7C2E772">
      <w:start w:val="1"/>
      <w:numFmt w:val="decimal"/>
      <w:lvlText w:val="%4."/>
      <w:lvlJc w:val="left"/>
      <w:pPr>
        <w:ind w:left="2880" w:hanging="360"/>
      </w:pPr>
    </w:lvl>
    <w:lvl w:ilvl="4" w:tplc="8F3ED6C0">
      <w:start w:val="1"/>
      <w:numFmt w:val="lowerLetter"/>
      <w:lvlText w:val="%5."/>
      <w:lvlJc w:val="left"/>
      <w:pPr>
        <w:ind w:left="3600" w:hanging="360"/>
      </w:pPr>
    </w:lvl>
    <w:lvl w:ilvl="5" w:tplc="2D44D9BA">
      <w:start w:val="1"/>
      <w:numFmt w:val="lowerRoman"/>
      <w:lvlText w:val="%6."/>
      <w:lvlJc w:val="right"/>
      <w:pPr>
        <w:ind w:left="4320" w:hanging="180"/>
      </w:pPr>
    </w:lvl>
    <w:lvl w:ilvl="6" w:tplc="4C8C1E2C">
      <w:start w:val="1"/>
      <w:numFmt w:val="decimal"/>
      <w:lvlText w:val="%7."/>
      <w:lvlJc w:val="left"/>
      <w:pPr>
        <w:ind w:left="5040" w:hanging="360"/>
      </w:pPr>
    </w:lvl>
    <w:lvl w:ilvl="7" w:tplc="E5581FE2">
      <w:start w:val="1"/>
      <w:numFmt w:val="lowerLetter"/>
      <w:lvlText w:val="%8."/>
      <w:lvlJc w:val="left"/>
      <w:pPr>
        <w:ind w:left="5760" w:hanging="360"/>
      </w:pPr>
    </w:lvl>
    <w:lvl w:ilvl="8" w:tplc="917A9886">
      <w:start w:val="1"/>
      <w:numFmt w:val="lowerRoman"/>
      <w:lvlText w:val="%9."/>
      <w:lvlJc w:val="right"/>
      <w:pPr>
        <w:ind w:left="6480" w:hanging="180"/>
      </w:pPr>
    </w:lvl>
  </w:abstractNum>
  <w:abstractNum w:abstractNumId="1" w15:restartNumberingAfterBreak="0">
    <w:nsid w:val="16002384"/>
    <w:multiLevelType w:val="hybridMultilevel"/>
    <w:tmpl w:val="783043A2"/>
    <w:lvl w:ilvl="0" w:tplc="0944B66A">
      <w:start w:val="1"/>
      <w:numFmt w:val="bullet"/>
      <w:lvlText w:val=""/>
      <w:lvlJc w:val="left"/>
      <w:pPr>
        <w:ind w:left="720" w:hanging="360"/>
      </w:pPr>
      <w:rPr>
        <w:rFonts w:ascii="Symbol" w:hAnsi="Symbol" w:hint="default"/>
      </w:rPr>
    </w:lvl>
    <w:lvl w:ilvl="1" w:tplc="9AE23C52">
      <w:start w:val="1"/>
      <w:numFmt w:val="bullet"/>
      <w:lvlText w:val="%2."/>
      <w:lvlJc w:val="left"/>
      <w:pPr>
        <w:ind w:left="1440" w:hanging="360"/>
      </w:pPr>
      <w:rPr>
        <w:rFonts w:ascii="Symbol" w:hAnsi="Symbol" w:hint="default"/>
      </w:rPr>
    </w:lvl>
    <w:lvl w:ilvl="2" w:tplc="A1DA94BA">
      <w:start w:val="1"/>
      <w:numFmt w:val="bullet"/>
      <w:lvlText w:val=""/>
      <w:lvlJc w:val="left"/>
      <w:pPr>
        <w:ind w:left="2160" w:hanging="360"/>
      </w:pPr>
      <w:rPr>
        <w:rFonts w:ascii="Wingdings" w:hAnsi="Wingdings" w:hint="default"/>
      </w:rPr>
    </w:lvl>
    <w:lvl w:ilvl="3" w:tplc="1DB64458">
      <w:start w:val="1"/>
      <w:numFmt w:val="bullet"/>
      <w:lvlText w:val=""/>
      <w:lvlJc w:val="left"/>
      <w:pPr>
        <w:ind w:left="2880" w:hanging="360"/>
      </w:pPr>
      <w:rPr>
        <w:rFonts w:ascii="Symbol" w:hAnsi="Symbol" w:hint="default"/>
      </w:rPr>
    </w:lvl>
    <w:lvl w:ilvl="4" w:tplc="5D2A756C">
      <w:start w:val="1"/>
      <w:numFmt w:val="bullet"/>
      <w:lvlText w:val="o"/>
      <w:lvlJc w:val="left"/>
      <w:pPr>
        <w:ind w:left="3600" w:hanging="360"/>
      </w:pPr>
      <w:rPr>
        <w:rFonts w:ascii="Courier New" w:hAnsi="Courier New" w:hint="default"/>
      </w:rPr>
    </w:lvl>
    <w:lvl w:ilvl="5" w:tplc="2D045590">
      <w:start w:val="1"/>
      <w:numFmt w:val="bullet"/>
      <w:lvlText w:val=""/>
      <w:lvlJc w:val="left"/>
      <w:pPr>
        <w:ind w:left="4320" w:hanging="360"/>
      </w:pPr>
      <w:rPr>
        <w:rFonts w:ascii="Wingdings" w:hAnsi="Wingdings" w:hint="default"/>
      </w:rPr>
    </w:lvl>
    <w:lvl w:ilvl="6" w:tplc="C9C40B28">
      <w:start w:val="1"/>
      <w:numFmt w:val="bullet"/>
      <w:lvlText w:val=""/>
      <w:lvlJc w:val="left"/>
      <w:pPr>
        <w:ind w:left="5040" w:hanging="360"/>
      </w:pPr>
      <w:rPr>
        <w:rFonts w:ascii="Symbol" w:hAnsi="Symbol" w:hint="default"/>
      </w:rPr>
    </w:lvl>
    <w:lvl w:ilvl="7" w:tplc="438A8826">
      <w:start w:val="1"/>
      <w:numFmt w:val="bullet"/>
      <w:lvlText w:val="o"/>
      <w:lvlJc w:val="left"/>
      <w:pPr>
        <w:ind w:left="5760" w:hanging="360"/>
      </w:pPr>
      <w:rPr>
        <w:rFonts w:ascii="Courier New" w:hAnsi="Courier New" w:hint="default"/>
      </w:rPr>
    </w:lvl>
    <w:lvl w:ilvl="8" w:tplc="A6AECFD8">
      <w:start w:val="1"/>
      <w:numFmt w:val="bullet"/>
      <w:lvlText w:val=""/>
      <w:lvlJc w:val="left"/>
      <w:pPr>
        <w:ind w:left="6480" w:hanging="360"/>
      </w:pPr>
      <w:rPr>
        <w:rFonts w:ascii="Wingdings" w:hAnsi="Wingdings" w:hint="default"/>
      </w:rPr>
    </w:lvl>
  </w:abstractNum>
  <w:abstractNum w:abstractNumId="2" w15:restartNumberingAfterBreak="0">
    <w:nsid w:val="541F02D0"/>
    <w:multiLevelType w:val="hybridMultilevel"/>
    <w:tmpl w:val="2334D878"/>
    <w:lvl w:ilvl="0" w:tplc="288C1028">
      <w:start w:val="1"/>
      <w:numFmt w:val="bullet"/>
      <w:lvlText w:val=""/>
      <w:lvlJc w:val="left"/>
      <w:pPr>
        <w:ind w:left="720" w:hanging="360"/>
      </w:pPr>
      <w:rPr>
        <w:rFonts w:ascii="Symbol" w:hAnsi="Symbol" w:hint="default"/>
      </w:rPr>
    </w:lvl>
    <w:lvl w:ilvl="1" w:tplc="1158B8E6">
      <w:start w:val="1"/>
      <w:numFmt w:val="bullet"/>
      <w:lvlText w:val="o"/>
      <w:lvlJc w:val="left"/>
      <w:pPr>
        <w:ind w:left="1440" w:hanging="360"/>
      </w:pPr>
      <w:rPr>
        <w:rFonts w:ascii="Courier New" w:hAnsi="Courier New" w:hint="default"/>
      </w:rPr>
    </w:lvl>
    <w:lvl w:ilvl="2" w:tplc="E1225AE8">
      <w:start w:val="1"/>
      <w:numFmt w:val="bullet"/>
      <w:lvlText w:val=""/>
      <w:lvlJc w:val="left"/>
      <w:pPr>
        <w:ind w:left="2160" w:hanging="360"/>
      </w:pPr>
      <w:rPr>
        <w:rFonts w:ascii="Wingdings" w:hAnsi="Wingdings" w:hint="default"/>
      </w:rPr>
    </w:lvl>
    <w:lvl w:ilvl="3" w:tplc="D460DD7E">
      <w:start w:val="1"/>
      <w:numFmt w:val="bullet"/>
      <w:lvlText w:val=""/>
      <w:lvlJc w:val="left"/>
      <w:pPr>
        <w:ind w:left="2880" w:hanging="360"/>
      </w:pPr>
      <w:rPr>
        <w:rFonts w:ascii="Symbol" w:hAnsi="Symbol" w:hint="default"/>
      </w:rPr>
    </w:lvl>
    <w:lvl w:ilvl="4" w:tplc="EA4C2BB6">
      <w:start w:val="1"/>
      <w:numFmt w:val="bullet"/>
      <w:lvlText w:val="o"/>
      <w:lvlJc w:val="left"/>
      <w:pPr>
        <w:ind w:left="3600" w:hanging="360"/>
      </w:pPr>
      <w:rPr>
        <w:rFonts w:ascii="Courier New" w:hAnsi="Courier New" w:hint="default"/>
      </w:rPr>
    </w:lvl>
    <w:lvl w:ilvl="5" w:tplc="5DAAB7F8">
      <w:start w:val="1"/>
      <w:numFmt w:val="bullet"/>
      <w:lvlText w:val=""/>
      <w:lvlJc w:val="left"/>
      <w:pPr>
        <w:ind w:left="4320" w:hanging="360"/>
      </w:pPr>
      <w:rPr>
        <w:rFonts w:ascii="Wingdings" w:hAnsi="Wingdings" w:hint="default"/>
      </w:rPr>
    </w:lvl>
    <w:lvl w:ilvl="6" w:tplc="42FC4530">
      <w:start w:val="1"/>
      <w:numFmt w:val="bullet"/>
      <w:lvlText w:val=""/>
      <w:lvlJc w:val="left"/>
      <w:pPr>
        <w:ind w:left="5040" w:hanging="360"/>
      </w:pPr>
      <w:rPr>
        <w:rFonts w:ascii="Symbol" w:hAnsi="Symbol" w:hint="default"/>
      </w:rPr>
    </w:lvl>
    <w:lvl w:ilvl="7" w:tplc="99968188">
      <w:start w:val="1"/>
      <w:numFmt w:val="bullet"/>
      <w:lvlText w:val="o"/>
      <w:lvlJc w:val="left"/>
      <w:pPr>
        <w:ind w:left="5760" w:hanging="360"/>
      </w:pPr>
      <w:rPr>
        <w:rFonts w:ascii="Courier New" w:hAnsi="Courier New" w:hint="default"/>
      </w:rPr>
    </w:lvl>
    <w:lvl w:ilvl="8" w:tplc="9F086156">
      <w:start w:val="1"/>
      <w:numFmt w:val="bullet"/>
      <w:lvlText w:val=""/>
      <w:lvlJc w:val="left"/>
      <w:pPr>
        <w:ind w:left="6480" w:hanging="360"/>
      </w:pPr>
      <w:rPr>
        <w:rFonts w:ascii="Wingdings" w:hAnsi="Wingdings" w:hint="default"/>
      </w:rPr>
    </w:lvl>
  </w:abstractNum>
  <w:abstractNum w:abstractNumId="3" w15:restartNumberingAfterBreak="0">
    <w:nsid w:val="5B5B74A7"/>
    <w:multiLevelType w:val="hybridMultilevel"/>
    <w:tmpl w:val="F80EFA62"/>
    <w:lvl w:ilvl="0" w:tplc="243423EC">
      <w:start w:val="1"/>
      <w:numFmt w:val="decimal"/>
      <w:lvlText w:val="%1."/>
      <w:lvlJc w:val="left"/>
      <w:pPr>
        <w:ind w:left="720" w:hanging="360"/>
      </w:pPr>
    </w:lvl>
    <w:lvl w:ilvl="1" w:tplc="7D08008C">
      <w:start w:val="1"/>
      <w:numFmt w:val="lowerLetter"/>
      <w:lvlText w:val="%2."/>
      <w:lvlJc w:val="left"/>
      <w:pPr>
        <w:ind w:left="1440" w:hanging="360"/>
      </w:pPr>
    </w:lvl>
    <w:lvl w:ilvl="2" w:tplc="3E14F9C8">
      <w:start w:val="1"/>
      <w:numFmt w:val="lowerRoman"/>
      <w:lvlText w:val="%3."/>
      <w:lvlJc w:val="right"/>
      <w:pPr>
        <w:ind w:left="2160" w:hanging="180"/>
      </w:pPr>
    </w:lvl>
    <w:lvl w:ilvl="3" w:tplc="FB06CFF2">
      <w:start w:val="1"/>
      <w:numFmt w:val="decimal"/>
      <w:lvlText w:val="%4."/>
      <w:lvlJc w:val="left"/>
      <w:pPr>
        <w:ind w:left="2880" w:hanging="360"/>
      </w:pPr>
    </w:lvl>
    <w:lvl w:ilvl="4" w:tplc="F1027F9C">
      <w:start w:val="1"/>
      <w:numFmt w:val="lowerLetter"/>
      <w:lvlText w:val="%5."/>
      <w:lvlJc w:val="left"/>
      <w:pPr>
        <w:ind w:left="3600" w:hanging="360"/>
      </w:pPr>
    </w:lvl>
    <w:lvl w:ilvl="5" w:tplc="F426F618">
      <w:start w:val="1"/>
      <w:numFmt w:val="lowerRoman"/>
      <w:lvlText w:val="%6."/>
      <w:lvlJc w:val="right"/>
      <w:pPr>
        <w:ind w:left="4320" w:hanging="180"/>
      </w:pPr>
    </w:lvl>
    <w:lvl w:ilvl="6" w:tplc="803624BA">
      <w:start w:val="1"/>
      <w:numFmt w:val="decimal"/>
      <w:lvlText w:val="%7."/>
      <w:lvlJc w:val="left"/>
      <w:pPr>
        <w:ind w:left="5040" w:hanging="360"/>
      </w:pPr>
    </w:lvl>
    <w:lvl w:ilvl="7" w:tplc="46F6D190">
      <w:start w:val="1"/>
      <w:numFmt w:val="lowerLetter"/>
      <w:lvlText w:val="%8."/>
      <w:lvlJc w:val="left"/>
      <w:pPr>
        <w:ind w:left="5760" w:hanging="360"/>
      </w:pPr>
    </w:lvl>
    <w:lvl w:ilvl="8" w:tplc="11E86E34">
      <w:start w:val="1"/>
      <w:numFmt w:val="lowerRoman"/>
      <w:lvlText w:val="%9."/>
      <w:lvlJc w:val="right"/>
      <w:pPr>
        <w:ind w:left="6480" w:hanging="180"/>
      </w:pPr>
    </w:lvl>
  </w:abstractNum>
  <w:num w:numId="1" w16cid:durableId="87702613">
    <w:abstractNumId w:val="2"/>
  </w:num>
  <w:num w:numId="2" w16cid:durableId="1186946708">
    <w:abstractNumId w:val="3"/>
  </w:num>
  <w:num w:numId="3" w16cid:durableId="1043751302">
    <w:abstractNumId w:val="1"/>
  </w:num>
  <w:num w:numId="4" w16cid:durableId="9845119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6060AB0"/>
    <w:rsid w:val="00025EA0"/>
    <w:rsid w:val="000265B5"/>
    <w:rsid w:val="00044FAF"/>
    <w:rsid w:val="000B089C"/>
    <w:rsid w:val="000D00C2"/>
    <w:rsid w:val="000D720F"/>
    <w:rsid w:val="000E65D6"/>
    <w:rsid w:val="00104D06"/>
    <w:rsid w:val="00105356"/>
    <w:rsid w:val="00123208"/>
    <w:rsid w:val="001840C4"/>
    <w:rsid w:val="001A6D44"/>
    <w:rsid w:val="0021128C"/>
    <w:rsid w:val="00224C5F"/>
    <w:rsid w:val="002306B9"/>
    <w:rsid w:val="00277C98"/>
    <w:rsid w:val="002A1457"/>
    <w:rsid w:val="002D3EF4"/>
    <w:rsid w:val="00300DFF"/>
    <w:rsid w:val="00331846"/>
    <w:rsid w:val="00345091"/>
    <w:rsid w:val="0035068F"/>
    <w:rsid w:val="0036071B"/>
    <w:rsid w:val="0036709F"/>
    <w:rsid w:val="00373197"/>
    <w:rsid w:val="00383E08"/>
    <w:rsid w:val="00394AF1"/>
    <w:rsid w:val="00396255"/>
    <w:rsid w:val="003B6B02"/>
    <w:rsid w:val="00400F1E"/>
    <w:rsid w:val="00410971"/>
    <w:rsid w:val="00424D25"/>
    <w:rsid w:val="00440DE9"/>
    <w:rsid w:val="00445055"/>
    <w:rsid w:val="0048099D"/>
    <w:rsid w:val="00483199"/>
    <w:rsid w:val="0048582C"/>
    <w:rsid w:val="0049232B"/>
    <w:rsid w:val="00494BDF"/>
    <w:rsid w:val="004A4FA2"/>
    <w:rsid w:val="004C7314"/>
    <w:rsid w:val="004D7C1D"/>
    <w:rsid w:val="004E121A"/>
    <w:rsid w:val="004F3F40"/>
    <w:rsid w:val="00510217"/>
    <w:rsid w:val="005118F3"/>
    <w:rsid w:val="005162BB"/>
    <w:rsid w:val="00516F2E"/>
    <w:rsid w:val="00522BC8"/>
    <w:rsid w:val="00523DE3"/>
    <w:rsid w:val="00577CAA"/>
    <w:rsid w:val="005B221C"/>
    <w:rsid w:val="005C600B"/>
    <w:rsid w:val="005C698D"/>
    <w:rsid w:val="005F74C4"/>
    <w:rsid w:val="00662553"/>
    <w:rsid w:val="00665C0D"/>
    <w:rsid w:val="00683566"/>
    <w:rsid w:val="0068516C"/>
    <w:rsid w:val="006D6899"/>
    <w:rsid w:val="006D6D15"/>
    <w:rsid w:val="006E2249"/>
    <w:rsid w:val="006F5549"/>
    <w:rsid w:val="00717EBD"/>
    <w:rsid w:val="00738E72"/>
    <w:rsid w:val="00752BD9"/>
    <w:rsid w:val="0076177B"/>
    <w:rsid w:val="0077664B"/>
    <w:rsid w:val="007D34E1"/>
    <w:rsid w:val="007D3D45"/>
    <w:rsid w:val="00800513"/>
    <w:rsid w:val="00816B24"/>
    <w:rsid w:val="008273E0"/>
    <w:rsid w:val="008877BB"/>
    <w:rsid w:val="008A640B"/>
    <w:rsid w:val="008C7ADF"/>
    <w:rsid w:val="009048B9"/>
    <w:rsid w:val="009240C3"/>
    <w:rsid w:val="00925712"/>
    <w:rsid w:val="009258AC"/>
    <w:rsid w:val="00926E9F"/>
    <w:rsid w:val="00985A6B"/>
    <w:rsid w:val="009C2C94"/>
    <w:rsid w:val="009F39A2"/>
    <w:rsid w:val="00A23D37"/>
    <w:rsid w:val="00A2490D"/>
    <w:rsid w:val="00A25298"/>
    <w:rsid w:val="00A40BDD"/>
    <w:rsid w:val="00A7795E"/>
    <w:rsid w:val="00A77A02"/>
    <w:rsid w:val="00AB0D90"/>
    <w:rsid w:val="00AD26A2"/>
    <w:rsid w:val="00AD612F"/>
    <w:rsid w:val="00AE08E8"/>
    <w:rsid w:val="00AE64BE"/>
    <w:rsid w:val="00AF7F56"/>
    <w:rsid w:val="00B2647C"/>
    <w:rsid w:val="00B369E4"/>
    <w:rsid w:val="00B83CAC"/>
    <w:rsid w:val="00B962C3"/>
    <w:rsid w:val="00BC7AD7"/>
    <w:rsid w:val="00BD165B"/>
    <w:rsid w:val="00BD4DBA"/>
    <w:rsid w:val="00BE4379"/>
    <w:rsid w:val="00BF0042"/>
    <w:rsid w:val="00C13BA7"/>
    <w:rsid w:val="00C80850"/>
    <w:rsid w:val="00CB2B86"/>
    <w:rsid w:val="00CC782E"/>
    <w:rsid w:val="00CE631A"/>
    <w:rsid w:val="00CF0552"/>
    <w:rsid w:val="00D04FBD"/>
    <w:rsid w:val="00D0712D"/>
    <w:rsid w:val="00D63E53"/>
    <w:rsid w:val="00D67371"/>
    <w:rsid w:val="00D8778F"/>
    <w:rsid w:val="00DB3EFD"/>
    <w:rsid w:val="00DC2CF4"/>
    <w:rsid w:val="00E03DC4"/>
    <w:rsid w:val="00E05799"/>
    <w:rsid w:val="00E1528B"/>
    <w:rsid w:val="00E30EC5"/>
    <w:rsid w:val="00E81602"/>
    <w:rsid w:val="00E946CB"/>
    <w:rsid w:val="00EB5FB7"/>
    <w:rsid w:val="00EB657B"/>
    <w:rsid w:val="00EF46D3"/>
    <w:rsid w:val="00F56B4F"/>
    <w:rsid w:val="00F6336D"/>
    <w:rsid w:val="00F74CD8"/>
    <w:rsid w:val="00F8352D"/>
    <w:rsid w:val="00FA1CC3"/>
    <w:rsid w:val="00FA2EA3"/>
    <w:rsid w:val="00FB1C1A"/>
    <w:rsid w:val="00FD27A6"/>
    <w:rsid w:val="00FE79BC"/>
    <w:rsid w:val="00FF09CA"/>
    <w:rsid w:val="00FF5B81"/>
    <w:rsid w:val="02938FFB"/>
    <w:rsid w:val="029FF30D"/>
    <w:rsid w:val="02F82296"/>
    <w:rsid w:val="053EB6EF"/>
    <w:rsid w:val="054B66BB"/>
    <w:rsid w:val="05CB30BD"/>
    <w:rsid w:val="05D793CF"/>
    <w:rsid w:val="06A138C7"/>
    <w:rsid w:val="0820D075"/>
    <w:rsid w:val="08BC46F9"/>
    <w:rsid w:val="0C2DACF6"/>
    <w:rsid w:val="0D062AC8"/>
    <w:rsid w:val="0F202FCE"/>
    <w:rsid w:val="0F654DB8"/>
    <w:rsid w:val="15A3B4AA"/>
    <w:rsid w:val="15FDE135"/>
    <w:rsid w:val="1982DCA9"/>
    <w:rsid w:val="19F7A0C4"/>
    <w:rsid w:val="1AA55F24"/>
    <w:rsid w:val="1BB0E82D"/>
    <w:rsid w:val="1E7291FD"/>
    <w:rsid w:val="1E8CFADA"/>
    <w:rsid w:val="1F15DDB5"/>
    <w:rsid w:val="1FED034E"/>
    <w:rsid w:val="23F9DFCF"/>
    <w:rsid w:val="23FFC211"/>
    <w:rsid w:val="259B9272"/>
    <w:rsid w:val="260A86FB"/>
    <w:rsid w:val="2723B3C4"/>
    <w:rsid w:val="27388FF0"/>
    <w:rsid w:val="27820DDB"/>
    <w:rsid w:val="28B9F686"/>
    <w:rsid w:val="2BB0744B"/>
    <w:rsid w:val="2E5A24F6"/>
    <w:rsid w:val="319B5557"/>
    <w:rsid w:val="330191C0"/>
    <w:rsid w:val="34879152"/>
    <w:rsid w:val="352DAF48"/>
    <w:rsid w:val="39249B80"/>
    <w:rsid w:val="3BCACC7C"/>
    <w:rsid w:val="3D28E71C"/>
    <w:rsid w:val="3E1F7A83"/>
    <w:rsid w:val="414478CA"/>
    <w:rsid w:val="4185721B"/>
    <w:rsid w:val="41D569D5"/>
    <w:rsid w:val="4219AE81"/>
    <w:rsid w:val="43DF75E2"/>
    <w:rsid w:val="4477BF2A"/>
    <w:rsid w:val="449D8C11"/>
    <w:rsid w:val="4B5B7E8E"/>
    <w:rsid w:val="4D4CFAA2"/>
    <w:rsid w:val="4D764E5D"/>
    <w:rsid w:val="50B08E98"/>
    <w:rsid w:val="513D4532"/>
    <w:rsid w:val="523DCCDD"/>
    <w:rsid w:val="52840D44"/>
    <w:rsid w:val="52D066B9"/>
    <w:rsid w:val="53FE54C7"/>
    <w:rsid w:val="54CAF5FE"/>
    <w:rsid w:val="583C087F"/>
    <w:rsid w:val="584F4C73"/>
    <w:rsid w:val="598A8A77"/>
    <w:rsid w:val="5C1FA7D2"/>
    <w:rsid w:val="5C253798"/>
    <w:rsid w:val="63D7BE00"/>
    <w:rsid w:val="66060AB0"/>
    <w:rsid w:val="67A0E121"/>
    <w:rsid w:val="6B8CF3A2"/>
    <w:rsid w:val="6CE80C27"/>
    <w:rsid w:val="6F03D7C0"/>
    <w:rsid w:val="715C4714"/>
    <w:rsid w:val="71E69999"/>
    <w:rsid w:val="741AB8EE"/>
    <w:rsid w:val="745E5873"/>
    <w:rsid w:val="772CFB4C"/>
    <w:rsid w:val="7845DF47"/>
    <w:rsid w:val="78BD84DD"/>
    <w:rsid w:val="7C6F1605"/>
    <w:rsid w:val="7F89F96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14883D"/>
  <w15:chartTrackingRefBased/>
  <w15:docId w15:val="{52E0231F-F354-40DB-AACF-0834D09A9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2112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128C"/>
  </w:style>
  <w:style w:type="paragraph" w:styleId="Footer">
    <w:name w:val="footer"/>
    <w:basedOn w:val="Normal"/>
    <w:link w:val="FooterChar"/>
    <w:uiPriority w:val="99"/>
    <w:unhideWhenUsed/>
    <w:rsid w:val="002112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128C"/>
  </w:style>
  <w:style w:type="paragraph" w:styleId="CommentSubject">
    <w:name w:val="annotation subject"/>
    <w:basedOn w:val="CommentText"/>
    <w:next w:val="CommentText"/>
    <w:link w:val="CommentSubjectChar"/>
    <w:uiPriority w:val="99"/>
    <w:semiHidden/>
    <w:unhideWhenUsed/>
    <w:rsid w:val="00424D25"/>
    <w:rPr>
      <w:b/>
      <w:bCs/>
    </w:rPr>
  </w:style>
  <w:style w:type="character" w:customStyle="1" w:styleId="CommentSubjectChar">
    <w:name w:val="Comment Subject Char"/>
    <w:basedOn w:val="CommentTextChar"/>
    <w:link w:val="CommentSubject"/>
    <w:uiPriority w:val="99"/>
    <w:semiHidden/>
    <w:rsid w:val="00424D25"/>
    <w:rPr>
      <w:b/>
      <w:bCs/>
      <w:sz w:val="20"/>
      <w:szCs w:val="20"/>
    </w:rPr>
  </w:style>
  <w:style w:type="character" w:styleId="Mention">
    <w:name w:val="Mention"/>
    <w:basedOn w:val="DefaultParagraphFont"/>
    <w:uiPriority w:val="99"/>
    <w:unhideWhenUsed/>
    <w:rsid w:val="009048B9"/>
    <w:rPr>
      <w:color w:val="2B579A"/>
      <w:shd w:val="clear" w:color="auto" w:fill="E6E6E6"/>
    </w:rPr>
  </w:style>
  <w:style w:type="paragraph" w:styleId="Revision">
    <w:name w:val="Revision"/>
    <w:hidden/>
    <w:uiPriority w:val="99"/>
    <w:semiHidden/>
    <w:rsid w:val="004809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policylibrary.colostate.edu/policy.aspx?id=582" TargetMode="External"/><Relationship Id="rId18" Type="http://schemas.openxmlformats.org/officeDocument/2006/relationships/hyperlink" Target="http://policylibrary.colostate.edu/policy.aspx?id=758"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nsf.gov/bfa/dias/policy/dmp.jsp" TargetMode="External"/><Relationship Id="rId7" Type="http://schemas.openxmlformats.org/officeDocument/2006/relationships/webSettings" Target="webSettings.xml"/><Relationship Id="rId12" Type="http://schemas.openxmlformats.org/officeDocument/2006/relationships/hyperlink" Target="https://lib.colostate.edu/find/csu-digital-repository/" TargetMode="External"/><Relationship Id="rId17" Type="http://schemas.openxmlformats.org/officeDocument/2006/relationships/hyperlink" Target="http://policylibrary.colostate.edu/policy.aspx?id=493"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policylibrary.colostate.edu/policy.aspx?id=492" TargetMode="External"/><Relationship Id="rId20" Type="http://schemas.openxmlformats.org/officeDocument/2006/relationships/hyperlink" Target="https://sparcopen.org/our-work/research-data-sharing-policy-initiative/funder-policie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ib.colostate.edu/find/csu-digital-repository/how-to-submit/data-submission-guidelines/" TargetMode="External"/><Relationship Id="rId24" Type="http://schemas.openxmlformats.org/officeDocument/2006/relationships/header" Target="header2.xml"/><Relationship Id="rId5" Type="http://schemas.openxmlformats.org/officeDocument/2006/relationships/styles" Target="styles.xml"/><Relationship Id="rId15" Type="http://schemas.openxmlformats.org/officeDocument/2006/relationships/hyperlink" Target="https://lib.colostate.edu/find/csu-digital-repository/"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lib.colostate.edu/services/data-management/data-management-plans/" TargetMode="External"/><Relationship Id="rId19" Type="http://schemas.openxmlformats.org/officeDocument/2006/relationships/hyperlink" Target="http://policylibrary.colostate.edu/policy.aspx?id=582"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lib.colostate.edu/services/data-management/" TargetMode="External"/><Relationship Id="rId22" Type="http://schemas.openxmlformats.org/officeDocument/2006/relationships/hyperlink" Target="https://grants.nih.gov/grants/policy/data_sharing/"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8BB48B19162A344AE5E028A6F65837F" ma:contentTypeVersion="10" ma:contentTypeDescription="Create a new document." ma:contentTypeScope="" ma:versionID="c5aa45719d396fd439e77c99f801941e">
  <xsd:schema xmlns:xsd="http://www.w3.org/2001/XMLSchema" xmlns:xs="http://www.w3.org/2001/XMLSchema" xmlns:p="http://schemas.microsoft.com/office/2006/metadata/properties" xmlns:ns2="b588fbf6-7b52-4725-b0a6-37837b4e4290" targetNamespace="http://schemas.microsoft.com/office/2006/metadata/properties" ma:root="true" ma:fieldsID="bafbcac54ba5c6a32f3a28b656348b05" ns2:_="">
    <xsd:import namespace="b588fbf6-7b52-4725-b0a6-37837b4e42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88fbf6-7b52-4725-b0a6-37837b4e42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3D9B96-61C3-4E8C-BB31-81403C7A6FF8}">
  <ds:schemaRefs>
    <ds:schemaRef ds:uri="http://schemas.microsoft.com/sharepoint/v3/contenttype/forms"/>
  </ds:schemaRefs>
</ds:datastoreItem>
</file>

<file path=customXml/itemProps2.xml><?xml version="1.0" encoding="utf-8"?>
<ds:datastoreItem xmlns:ds="http://schemas.openxmlformats.org/officeDocument/2006/customXml" ds:itemID="{AD240DB9-B39A-4075-AC13-A91A6398335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7C5C80D-B7AC-44BA-97F8-215ECDFA82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88fbf6-7b52-4725-b0a6-37837b4e42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1324</TotalTime>
  <Pages>5</Pages>
  <Words>2062</Words>
  <Characters>11760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13795</CharactersWithSpaces>
  <SharedDoc>false</SharedDoc>
  <HLinks>
    <vt:vector size="78" baseType="variant">
      <vt:variant>
        <vt:i4>6225976</vt:i4>
      </vt:variant>
      <vt:variant>
        <vt:i4>36</vt:i4>
      </vt:variant>
      <vt:variant>
        <vt:i4>0</vt:i4>
      </vt:variant>
      <vt:variant>
        <vt:i4>5</vt:i4>
      </vt:variant>
      <vt:variant>
        <vt:lpwstr>https://grants.nih.gov/grants/policy/data_sharing/</vt:lpwstr>
      </vt:variant>
      <vt:variant>
        <vt:lpwstr/>
      </vt:variant>
      <vt:variant>
        <vt:i4>6684785</vt:i4>
      </vt:variant>
      <vt:variant>
        <vt:i4>33</vt:i4>
      </vt:variant>
      <vt:variant>
        <vt:i4>0</vt:i4>
      </vt:variant>
      <vt:variant>
        <vt:i4>5</vt:i4>
      </vt:variant>
      <vt:variant>
        <vt:lpwstr>https://www.nsf.gov/bfa/dias/policy/dmp.jsp</vt:lpwstr>
      </vt:variant>
      <vt:variant>
        <vt:lpwstr/>
      </vt:variant>
      <vt:variant>
        <vt:i4>8192044</vt:i4>
      </vt:variant>
      <vt:variant>
        <vt:i4>30</vt:i4>
      </vt:variant>
      <vt:variant>
        <vt:i4>0</vt:i4>
      </vt:variant>
      <vt:variant>
        <vt:i4>5</vt:i4>
      </vt:variant>
      <vt:variant>
        <vt:lpwstr>https://sparcopen.org/our-work/research-data-sharing-policy-initiative/funder-policies/</vt:lpwstr>
      </vt:variant>
      <vt:variant>
        <vt:lpwstr/>
      </vt:variant>
      <vt:variant>
        <vt:i4>1835092</vt:i4>
      </vt:variant>
      <vt:variant>
        <vt:i4>27</vt:i4>
      </vt:variant>
      <vt:variant>
        <vt:i4>0</vt:i4>
      </vt:variant>
      <vt:variant>
        <vt:i4>5</vt:i4>
      </vt:variant>
      <vt:variant>
        <vt:lpwstr>http://policylibrary.colostate.edu/policy.aspx?id=582</vt:lpwstr>
      </vt:variant>
      <vt:variant>
        <vt:lpwstr/>
      </vt:variant>
      <vt:variant>
        <vt:i4>1114198</vt:i4>
      </vt:variant>
      <vt:variant>
        <vt:i4>24</vt:i4>
      </vt:variant>
      <vt:variant>
        <vt:i4>0</vt:i4>
      </vt:variant>
      <vt:variant>
        <vt:i4>5</vt:i4>
      </vt:variant>
      <vt:variant>
        <vt:lpwstr>http://policylibrary.colostate.edu/policy.aspx?id=758</vt:lpwstr>
      </vt:variant>
      <vt:variant>
        <vt:lpwstr/>
      </vt:variant>
      <vt:variant>
        <vt:i4>1900629</vt:i4>
      </vt:variant>
      <vt:variant>
        <vt:i4>21</vt:i4>
      </vt:variant>
      <vt:variant>
        <vt:i4>0</vt:i4>
      </vt:variant>
      <vt:variant>
        <vt:i4>5</vt:i4>
      </vt:variant>
      <vt:variant>
        <vt:lpwstr>http://policylibrary.colostate.edu/policy.aspx?id=493</vt:lpwstr>
      </vt:variant>
      <vt:variant>
        <vt:lpwstr/>
      </vt:variant>
      <vt:variant>
        <vt:i4>1900629</vt:i4>
      </vt:variant>
      <vt:variant>
        <vt:i4>18</vt:i4>
      </vt:variant>
      <vt:variant>
        <vt:i4>0</vt:i4>
      </vt:variant>
      <vt:variant>
        <vt:i4>5</vt:i4>
      </vt:variant>
      <vt:variant>
        <vt:lpwstr>http://policylibrary.colostate.edu/policy.aspx?id=492</vt:lpwstr>
      </vt:variant>
      <vt:variant>
        <vt:lpwstr/>
      </vt:variant>
      <vt:variant>
        <vt:i4>7012454</vt:i4>
      </vt:variant>
      <vt:variant>
        <vt:i4>15</vt:i4>
      </vt:variant>
      <vt:variant>
        <vt:i4>0</vt:i4>
      </vt:variant>
      <vt:variant>
        <vt:i4>5</vt:i4>
      </vt:variant>
      <vt:variant>
        <vt:lpwstr>https://lib.colostate.edu/find/csu-digital-repository/</vt:lpwstr>
      </vt:variant>
      <vt:variant>
        <vt:lpwstr/>
      </vt:variant>
      <vt:variant>
        <vt:i4>7929955</vt:i4>
      </vt:variant>
      <vt:variant>
        <vt:i4>12</vt:i4>
      </vt:variant>
      <vt:variant>
        <vt:i4>0</vt:i4>
      </vt:variant>
      <vt:variant>
        <vt:i4>5</vt:i4>
      </vt:variant>
      <vt:variant>
        <vt:lpwstr>https://lib.colostate.edu/services/data-management/</vt:lpwstr>
      </vt:variant>
      <vt:variant>
        <vt:lpwstr/>
      </vt:variant>
      <vt:variant>
        <vt:i4>1835092</vt:i4>
      </vt:variant>
      <vt:variant>
        <vt:i4>9</vt:i4>
      </vt:variant>
      <vt:variant>
        <vt:i4>0</vt:i4>
      </vt:variant>
      <vt:variant>
        <vt:i4>5</vt:i4>
      </vt:variant>
      <vt:variant>
        <vt:lpwstr>http://policylibrary.colostate.edu/policy.aspx?id=582</vt:lpwstr>
      </vt:variant>
      <vt:variant>
        <vt:lpwstr/>
      </vt:variant>
      <vt:variant>
        <vt:i4>7012454</vt:i4>
      </vt:variant>
      <vt:variant>
        <vt:i4>6</vt:i4>
      </vt:variant>
      <vt:variant>
        <vt:i4>0</vt:i4>
      </vt:variant>
      <vt:variant>
        <vt:i4>5</vt:i4>
      </vt:variant>
      <vt:variant>
        <vt:lpwstr>https://lib.colostate.edu/find/csu-digital-repository/</vt:lpwstr>
      </vt:variant>
      <vt:variant>
        <vt:lpwstr/>
      </vt:variant>
      <vt:variant>
        <vt:i4>3670138</vt:i4>
      </vt:variant>
      <vt:variant>
        <vt:i4>3</vt:i4>
      </vt:variant>
      <vt:variant>
        <vt:i4>0</vt:i4>
      </vt:variant>
      <vt:variant>
        <vt:i4>5</vt:i4>
      </vt:variant>
      <vt:variant>
        <vt:lpwstr>https://lib.colostate.edu/find/csu-digital-repository/how-to-submit/data-submission-guidelines/</vt:lpwstr>
      </vt:variant>
      <vt:variant>
        <vt:lpwstr/>
      </vt:variant>
      <vt:variant>
        <vt:i4>5373956</vt:i4>
      </vt:variant>
      <vt:variant>
        <vt:i4>0</vt:i4>
      </vt:variant>
      <vt:variant>
        <vt:i4>0</vt:i4>
      </vt:variant>
      <vt:variant>
        <vt:i4>5</vt:i4>
      </vt:variant>
      <vt:variant>
        <vt:lpwstr>https://lib.colostate.edu/services/data-management/data-management-plans/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Sedlins,Mara</dc:creator>
  <cp:keywords/>
  <dc:description/>
  <cp:lastModifiedBy>Hunt,Tammy</cp:lastModifiedBy>
  <cp:revision>104</cp:revision>
  <dcterms:created xsi:type="dcterms:W3CDTF">2021-11-09T21:42:00Z</dcterms:created>
  <dcterms:modified xsi:type="dcterms:W3CDTF">2022-07-18T21:01:00Z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0x0101000A8D6A503272C34AAA0B3A42831BD9FA</vt:lpwstr>
  </property>
</Properties>
</file>